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37435A" w14:textId="77777777" w:rsidR="009A7D3A" w:rsidRPr="009A7D3A" w:rsidRDefault="009A7D3A" w:rsidP="009A7D3A">
      <w:pPr>
        <w:widowControl w:val="0"/>
        <w:spacing w:after="0" w:line="240" w:lineRule="auto"/>
        <w:rPr>
          <w:rFonts w:ascii="Times New Roman" w:hAnsi="Times New Roman" w:cs="Times New Roman"/>
          <w:sz w:val="24"/>
          <w:szCs w:val="24"/>
        </w:rPr>
      </w:pPr>
    </w:p>
    <w:p w14:paraId="551F9B1A" w14:textId="77777777" w:rsidR="009A7D3A" w:rsidRPr="009A7D3A" w:rsidRDefault="009A7D3A" w:rsidP="009A7D3A">
      <w:pPr>
        <w:widowControl w:val="0"/>
        <w:spacing w:after="0" w:line="240" w:lineRule="auto"/>
        <w:rPr>
          <w:rFonts w:ascii="Times New Roman" w:hAnsi="Times New Roman" w:cs="Times New Roman"/>
          <w:sz w:val="20"/>
          <w:szCs w:val="20"/>
        </w:rPr>
      </w:pPr>
      <w:r w:rsidRPr="009A7D3A">
        <w:rPr>
          <w:rFonts w:ascii="Times New Roman" w:hAnsi="Times New Roman" w:cs="Times New Roman"/>
          <w:sz w:val="20"/>
          <w:szCs w:val="20"/>
        </w:rPr>
        <w:t>Text consolidated by Valsts valodas centrs (State Language Centre) with amending decisions of:</w:t>
      </w:r>
    </w:p>
    <w:p w14:paraId="388E1242" w14:textId="2EECA6C6" w:rsidR="009A7D3A" w:rsidRDefault="009A7D3A" w:rsidP="009A7D3A">
      <w:pPr>
        <w:pStyle w:val="Tekstabloks"/>
        <w:ind w:left="0" w:right="0"/>
        <w:jc w:val="center"/>
      </w:pPr>
      <w:r w:rsidRPr="009A7D3A">
        <w:t>2</w:t>
      </w:r>
      <w:r>
        <w:t>0</w:t>
      </w:r>
      <w:r w:rsidRPr="009A7D3A">
        <w:t> </w:t>
      </w:r>
      <w:r>
        <w:t>August</w:t>
      </w:r>
      <w:r w:rsidRPr="009A7D3A">
        <w:t xml:space="preserve"> 2015 [shall come into force from </w:t>
      </w:r>
      <w:r>
        <w:t>25</w:t>
      </w:r>
      <w:r w:rsidRPr="009A7D3A">
        <w:t> </w:t>
      </w:r>
      <w:r>
        <w:t>August</w:t>
      </w:r>
      <w:r w:rsidRPr="009A7D3A">
        <w:t> 2015]</w:t>
      </w:r>
      <w:r>
        <w:t>;</w:t>
      </w:r>
    </w:p>
    <w:p w14:paraId="203F83B6" w14:textId="6EC7FD87" w:rsidR="009A7D3A" w:rsidRPr="009A7D3A" w:rsidRDefault="009A7D3A" w:rsidP="009A7D3A">
      <w:pPr>
        <w:pStyle w:val="Tekstabloks"/>
        <w:ind w:left="0" w:right="0"/>
        <w:jc w:val="center"/>
      </w:pPr>
      <w:r>
        <w:t>30</w:t>
      </w:r>
      <w:r w:rsidRPr="009A7D3A">
        <w:t> </w:t>
      </w:r>
      <w:r>
        <w:t>March</w:t>
      </w:r>
      <w:r w:rsidRPr="009A7D3A">
        <w:t> 201</w:t>
      </w:r>
      <w:r>
        <w:t>7</w:t>
      </w:r>
      <w:r w:rsidRPr="009A7D3A">
        <w:t xml:space="preserve"> [shall come into force from </w:t>
      </w:r>
      <w:r>
        <w:t>5</w:t>
      </w:r>
      <w:r w:rsidRPr="009A7D3A">
        <w:t> </w:t>
      </w:r>
      <w:r>
        <w:t>April</w:t>
      </w:r>
      <w:r w:rsidRPr="009A7D3A">
        <w:t> 201</w:t>
      </w:r>
      <w:r>
        <w:t>7</w:t>
      </w:r>
      <w:r w:rsidRPr="009A7D3A">
        <w:t>].</w:t>
      </w:r>
    </w:p>
    <w:p w14:paraId="3D5F3156" w14:textId="77777777" w:rsidR="009A7D3A" w:rsidRPr="009A7D3A" w:rsidRDefault="009A7D3A" w:rsidP="009A7D3A">
      <w:pPr>
        <w:pStyle w:val="Paraststmeklis"/>
        <w:spacing w:before="0" w:beforeAutospacing="0" w:after="0" w:afterAutospacing="0"/>
        <w:jc w:val="both"/>
        <w:rPr>
          <w:bCs/>
          <w:sz w:val="20"/>
          <w:szCs w:val="20"/>
          <w:lang w:val="en-GB"/>
        </w:rPr>
      </w:pPr>
      <w:r w:rsidRPr="009A7D3A">
        <w:rPr>
          <w:sz w:val="20"/>
          <w:szCs w:val="20"/>
          <w:lang w:val="en-GB"/>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7F49566" w14:textId="77777777" w:rsidR="009A7D3A" w:rsidRPr="009A7D3A" w:rsidRDefault="009A7D3A" w:rsidP="009A7D3A">
      <w:pPr>
        <w:pStyle w:val="Paraststmeklis"/>
        <w:spacing w:before="0" w:beforeAutospacing="0" w:after="0" w:afterAutospacing="0"/>
        <w:rPr>
          <w:bCs/>
          <w:lang w:val="en-GB"/>
        </w:rPr>
      </w:pPr>
    </w:p>
    <w:p w14:paraId="4D1425C6" w14:textId="77777777" w:rsidR="009A7D3A" w:rsidRPr="009A7D3A" w:rsidRDefault="009A7D3A" w:rsidP="009A7D3A">
      <w:pPr>
        <w:pStyle w:val="Paraststmeklis"/>
        <w:spacing w:before="0" w:beforeAutospacing="0" w:after="0" w:afterAutospacing="0"/>
        <w:rPr>
          <w:bCs/>
          <w:lang w:val="en-GB"/>
        </w:rPr>
      </w:pPr>
    </w:p>
    <w:p w14:paraId="60F825E8" w14:textId="77777777" w:rsidR="000C312A" w:rsidRPr="009A7D3A" w:rsidRDefault="000C312A" w:rsidP="000C312A">
      <w:pPr>
        <w:spacing w:after="0" w:line="240" w:lineRule="auto"/>
        <w:jc w:val="center"/>
        <w:rPr>
          <w:rFonts w:ascii="Times New Roman" w:eastAsia="Times New Roman" w:hAnsi="Times New Roman" w:cs="Times New Roman"/>
          <w:noProof/>
          <w:sz w:val="24"/>
          <w:szCs w:val="24"/>
        </w:rPr>
      </w:pPr>
      <w:r w:rsidRPr="009A7D3A">
        <w:rPr>
          <w:rFonts w:ascii="Times New Roman" w:hAnsi="Times New Roman" w:cs="Times New Roman"/>
          <w:sz w:val="24"/>
          <w:szCs w:val="24"/>
        </w:rPr>
        <w:t>Decision No. 1/38 of the Board of the Public Utilities Commission</w:t>
      </w:r>
    </w:p>
    <w:p w14:paraId="5F99EF78" w14:textId="24447DDB" w:rsidR="000C312A" w:rsidRPr="009A7D3A" w:rsidRDefault="000C312A" w:rsidP="000C312A">
      <w:pPr>
        <w:spacing w:after="0" w:line="240" w:lineRule="auto"/>
        <w:jc w:val="center"/>
        <w:rPr>
          <w:rFonts w:ascii="Times New Roman" w:eastAsia="Times New Roman" w:hAnsi="Times New Roman" w:cs="Times New Roman"/>
          <w:noProof/>
          <w:sz w:val="24"/>
          <w:szCs w:val="24"/>
        </w:rPr>
      </w:pPr>
      <w:r w:rsidRPr="009A7D3A">
        <w:rPr>
          <w:rFonts w:ascii="Times New Roman" w:hAnsi="Times New Roman" w:cs="Times New Roman"/>
          <w:sz w:val="24"/>
          <w:szCs w:val="24"/>
        </w:rPr>
        <w:t>Adopted 19 December 2013</w:t>
      </w:r>
    </w:p>
    <w:p w14:paraId="14464210" w14:textId="77777777" w:rsidR="000C312A" w:rsidRPr="009A7D3A" w:rsidRDefault="000C312A" w:rsidP="000C312A">
      <w:pPr>
        <w:spacing w:after="0" w:line="240" w:lineRule="auto"/>
        <w:jc w:val="both"/>
        <w:rPr>
          <w:rFonts w:ascii="Times New Roman" w:eastAsia="Times New Roman" w:hAnsi="Times New Roman" w:cs="Times New Roman"/>
          <w:noProof/>
          <w:sz w:val="24"/>
          <w:szCs w:val="24"/>
          <w:lang w:val="en-US" w:eastAsia="lv-LV"/>
        </w:rPr>
      </w:pPr>
    </w:p>
    <w:p w14:paraId="3464989C" w14:textId="77777777" w:rsidR="000C312A" w:rsidRPr="009A7D3A" w:rsidRDefault="000C312A" w:rsidP="000C312A">
      <w:pPr>
        <w:spacing w:after="0" w:line="240" w:lineRule="auto"/>
        <w:jc w:val="both"/>
        <w:rPr>
          <w:rFonts w:ascii="Times New Roman" w:eastAsia="Times New Roman" w:hAnsi="Times New Roman" w:cs="Times New Roman"/>
          <w:noProof/>
          <w:sz w:val="24"/>
          <w:szCs w:val="24"/>
          <w:lang w:val="en-US" w:eastAsia="lv-LV"/>
        </w:rPr>
      </w:pPr>
    </w:p>
    <w:p w14:paraId="2EF742E8" w14:textId="68694767" w:rsidR="000C312A" w:rsidRPr="009A7D3A" w:rsidRDefault="000C312A" w:rsidP="000C312A">
      <w:pPr>
        <w:spacing w:after="0" w:line="240" w:lineRule="auto"/>
        <w:jc w:val="center"/>
        <w:rPr>
          <w:rFonts w:ascii="Times New Roman" w:eastAsia="Times New Roman" w:hAnsi="Times New Roman" w:cs="Times New Roman"/>
          <w:b/>
          <w:bCs/>
          <w:noProof/>
          <w:sz w:val="28"/>
          <w:szCs w:val="28"/>
        </w:rPr>
      </w:pPr>
      <w:r w:rsidRPr="009A7D3A">
        <w:rPr>
          <w:rFonts w:ascii="Times New Roman" w:hAnsi="Times New Roman" w:cs="Times New Roman"/>
          <w:b/>
          <w:bCs/>
          <w:sz w:val="28"/>
          <w:szCs w:val="28"/>
        </w:rPr>
        <w:t xml:space="preserve">Regulations Regarding the </w:t>
      </w:r>
      <w:r w:rsidR="004B4797" w:rsidRPr="009A7D3A">
        <w:rPr>
          <w:rFonts w:ascii="Times New Roman" w:hAnsi="Times New Roman" w:cs="Times New Roman"/>
          <w:b/>
          <w:bCs/>
          <w:sz w:val="28"/>
          <w:szCs w:val="28"/>
        </w:rPr>
        <w:t xml:space="preserve">Reference </w:t>
      </w:r>
      <w:r w:rsidRPr="009A7D3A">
        <w:rPr>
          <w:rFonts w:ascii="Times New Roman" w:hAnsi="Times New Roman" w:cs="Times New Roman"/>
          <w:b/>
          <w:bCs/>
          <w:sz w:val="28"/>
          <w:szCs w:val="28"/>
        </w:rPr>
        <w:t>Interconnection Offer</w:t>
      </w:r>
    </w:p>
    <w:p w14:paraId="5ECE85D6" w14:textId="729CF048" w:rsidR="000C312A" w:rsidRPr="009A7D3A" w:rsidRDefault="000C312A" w:rsidP="000C312A">
      <w:pPr>
        <w:spacing w:after="0" w:line="240" w:lineRule="auto"/>
        <w:jc w:val="center"/>
        <w:rPr>
          <w:rFonts w:ascii="Times New Roman" w:eastAsia="Times New Roman" w:hAnsi="Times New Roman" w:cs="Times New Roman"/>
          <w:i/>
          <w:iCs/>
          <w:noProof/>
          <w:sz w:val="24"/>
          <w:szCs w:val="24"/>
        </w:rPr>
      </w:pPr>
      <w:r w:rsidRPr="009A7D3A">
        <w:rPr>
          <w:rFonts w:ascii="Times New Roman" w:hAnsi="Times New Roman" w:cs="Times New Roman"/>
          <w:i/>
          <w:iCs/>
          <w:sz w:val="24"/>
          <w:szCs w:val="24"/>
        </w:rPr>
        <w:t>[20 August 2015]</w:t>
      </w:r>
    </w:p>
    <w:p w14:paraId="09BADD11" w14:textId="60BF7FA9" w:rsidR="000C312A" w:rsidRPr="009A7D3A" w:rsidRDefault="000C312A" w:rsidP="000C312A">
      <w:pPr>
        <w:spacing w:after="0" w:line="240" w:lineRule="auto"/>
        <w:jc w:val="both"/>
        <w:rPr>
          <w:rFonts w:ascii="Times New Roman" w:eastAsia="Times New Roman" w:hAnsi="Times New Roman" w:cs="Times New Roman"/>
          <w:noProof/>
          <w:sz w:val="24"/>
          <w:szCs w:val="24"/>
          <w:lang w:val="en-US" w:eastAsia="lv-LV"/>
        </w:rPr>
      </w:pPr>
    </w:p>
    <w:p w14:paraId="2D914FDC" w14:textId="77777777" w:rsidR="000C312A" w:rsidRPr="009A7D3A" w:rsidRDefault="000C312A" w:rsidP="000C312A">
      <w:pPr>
        <w:spacing w:after="0" w:line="240" w:lineRule="auto"/>
        <w:jc w:val="both"/>
        <w:rPr>
          <w:rFonts w:ascii="Times New Roman" w:eastAsia="Times New Roman" w:hAnsi="Times New Roman" w:cs="Times New Roman"/>
          <w:noProof/>
          <w:sz w:val="24"/>
          <w:szCs w:val="24"/>
          <w:lang w:val="en-US" w:eastAsia="lv-LV"/>
        </w:rPr>
      </w:pPr>
    </w:p>
    <w:p w14:paraId="21A91BC3" w14:textId="77777777" w:rsidR="000C312A" w:rsidRPr="009A7D3A" w:rsidRDefault="000C312A" w:rsidP="000C312A">
      <w:pPr>
        <w:spacing w:after="0" w:line="240" w:lineRule="auto"/>
        <w:jc w:val="right"/>
        <w:rPr>
          <w:rFonts w:ascii="Times New Roman" w:eastAsia="Times New Roman" w:hAnsi="Times New Roman" w:cs="Times New Roman"/>
          <w:i/>
          <w:iCs/>
          <w:noProof/>
          <w:sz w:val="24"/>
          <w:szCs w:val="24"/>
        </w:rPr>
      </w:pPr>
      <w:r w:rsidRPr="009A7D3A">
        <w:rPr>
          <w:rFonts w:ascii="Times New Roman" w:hAnsi="Times New Roman" w:cs="Times New Roman"/>
          <w:i/>
          <w:iCs/>
          <w:sz w:val="24"/>
          <w:szCs w:val="24"/>
        </w:rPr>
        <w:t>Issued pursuant to</w:t>
      </w:r>
    </w:p>
    <w:p w14:paraId="33F14E7D" w14:textId="47F8DD68" w:rsidR="000C312A" w:rsidRPr="009A7D3A" w:rsidRDefault="000C312A" w:rsidP="000C312A">
      <w:pPr>
        <w:spacing w:after="0" w:line="240" w:lineRule="auto"/>
        <w:jc w:val="right"/>
        <w:rPr>
          <w:rFonts w:ascii="Times New Roman" w:eastAsia="Times New Roman" w:hAnsi="Times New Roman" w:cs="Times New Roman"/>
          <w:i/>
          <w:iCs/>
          <w:noProof/>
          <w:sz w:val="24"/>
          <w:szCs w:val="24"/>
        </w:rPr>
      </w:pPr>
      <w:r w:rsidRPr="009A7D3A">
        <w:rPr>
          <w:rFonts w:ascii="Times New Roman" w:hAnsi="Times New Roman" w:cs="Times New Roman"/>
          <w:i/>
          <w:iCs/>
          <w:sz w:val="24"/>
          <w:szCs w:val="24"/>
        </w:rPr>
        <w:t>Section 39, Paragraph three and Paragraph four, Clause 1, and Section 44, Paragraph two of the Electronic Communications Law</w:t>
      </w:r>
    </w:p>
    <w:p w14:paraId="3152C596" w14:textId="4F72C70F" w:rsidR="000C312A" w:rsidRPr="009A7D3A" w:rsidRDefault="000C312A" w:rsidP="000C312A">
      <w:pPr>
        <w:spacing w:after="0" w:line="240" w:lineRule="auto"/>
        <w:jc w:val="both"/>
        <w:rPr>
          <w:rFonts w:ascii="Times New Roman" w:eastAsia="Times New Roman" w:hAnsi="Times New Roman" w:cs="Times New Roman"/>
          <w:noProof/>
          <w:sz w:val="24"/>
          <w:szCs w:val="24"/>
          <w:lang w:val="en-US" w:eastAsia="lv-LV"/>
        </w:rPr>
      </w:pPr>
    </w:p>
    <w:p w14:paraId="014B73CD" w14:textId="77777777" w:rsidR="000C312A" w:rsidRPr="009A7D3A" w:rsidRDefault="000C312A" w:rsidP="000C312A">
      <w:pPr>
        <w:spacing w:after="0" w:line="240" w:lineRule="auto"/>
        <w:jc w:val="both"/>
        <w:rPr>
          <w:rFonts w:ascii="Times New Roman" w:eastAsia="Times New Roman" w:hAnsi="Times New Roman" w:cs="Times New Roman"/>
          <w:noProof/>
          <w:sz w:val="24"/>
          <w:szCs w:val="24"/>
          <w:lang w:val="en-US" w:eastAsia="lv-LV"/>
        </w:rPr>
      </w:pPr>
    </w:p>
    <w:p w14:paraId="4B5CF2E4" w14:textId="77777777" w:rsidR="000C312A" w:rsidRPr="009A7D3A" w:rsidRDefault="000C312A" w:rsidP="000C312A">
      <w:pPr>
        <w:spacing w:after="0" w:line="240" w:lineRule="auto"/>
        <w:jc w:val="center"/>
        <w:rPr>
          <w:rFonts w:ascii="Times New Roman" w:eastAsia="Times New Roman" w:hAnsi="Times New Roman" w:cs="Times New Roman"/>
          <w:b/>
          <w:bCs/>
          <w:noProof/>
          <w:sz w:val="24"/>
          <w:szCs w:val="24"/>
        </w:rPr>
      </w:pPr>
      <w:bookmarkStart w:id="0" w:name="n1"/>
      <w:bookmarkStart w:id="1" w:name="n-509559"/>
      <w:bookmarkEnd w:id="0"/>
      <w:bookmarkEnd w:id="1"/>
      <w:r w:rsidRPr="009A7D3A">
        <w:rPr>
          <w:rFonts w:ascii="Times New Roman" w:hAnsi="Times New Roman" w:cs="Times New Roman"/>
          <w:b/>
          <w:bCs/>
          <w:sz w:val="24"/>
          <w:szCs w:val="24"/>
        </w:rPr>
        <w:t>I. General Provision</w:t>
      </w:r>
    </w:p>
    <w:p w14:paraId="73368C57" w14:textId="77777777" w:rsidR="000C312A" w:rsidRPr="009A7D3A" w:rsidRDefault="000C312A" w:rsidP="000C312A">
      <w:pPr>
        <w:spacing w:after="0" w:line="240" w:lineRule="auto"/>
        <w:jc w:val="both"/>
        <w:rPr>
          <w:rFonts w:ascii="Times New Roman" w:eastAsia="Times New Roman" w:hAnsi="Times New Roman" w:cs="Times New Roman"/>
          <w:noProof/>
          <w:sz w:val="24"/>
          <w:szCs w:val="24"/>
        </w:rPr>
      </w:pPr>
      <w:bookmarkStart w:id="2" w:name="p-562086"/>
      <w:bookmarkEnd w:id="2"/>
    </w:p>
    <w:p w14:paraId="47DEFABB" w14:textId="52C3F90E" w:rsidR="000C312A" w:rsidRPr="009A7D3A" w:rsidRDefault="000C312A" w:rsidP="000C312A">
      <w:pPr>
        <w:spacing w:after="0" w:line="240" w:lineRule="auto"/>
        <w:jc w:val="both"/>
        <w:rPr>
          <w:rFonts w:ascii="Times New Roman" w:eastAsia="Times New Roman" w:hAnsi="Times New Roman" w:cs="Times New Roman"/>
          <w:noProof/>
          <w:sz w:val="24"/>
          <w:szCs w:val="24"/>
        </w:rPr>
      </w:pPr>
      <w:r w:rsidRPr="009A7D3A">
        <w:rPr>
          <w:rFonts w:ascii="Times New Roman" w:hAnsi="Times New Roman" w:cs="Times New Roman"/>
          <w:sz w:val="24"/>
          <w:szCs w:val="24"/>
        </w:rPr>
        <w:t xml:space="preserve">1. Regulations regarding the reference </w:t>
      </w:r>
      <w:r w:rsidR="004B4797" w:rsidRPr="004B4797">
        <w:rPr>
          <w:rFonts w:ascii="Times New Roman" w:hAnsi="Times New Roman" w:cs="Times New Roman"/>
          <w:sz w:val="24"/>
          <w:szCs w:val="24"/>
        </w:rPr>
        <w:t xml:space="preserve">interconnection </w:t>
      </w:r>
      <w:r w:rsidRPr="009A7D3A">
        <w:rPr>
          <w:rFonts w:ascii="Times New Roman" w:hAnsi="Times New Roman" w:cs="Times New Roman"/>
          <w:sz w:val="24"/>
          <w:szCs w:val="24"/>
        </w:rPr>
        <w:t>offer (hereinafter – the Regulations) prescribe:</w:t>
      </w:r>
      <w:bookmarkStart w:id="3" w:name="p1"/>
      <w:bookmarkEnd w:id="3"/>
    </w:p>
    <w:p w14:paraId="5045B2F9" w14:textId="48BE68D0" w:rsidR="000C312A" w:rsidRPr="009A7D3A" w:rsidRDefault="000C312A" w:rsidP="000C312A">
      <w:pPr>
        <w:spacing w:after="0" w:line="240" w:lineRule="auto"/>
        <w:ind w:firstLine="709"/>
        <w:jc w:val="both"/>
        <w:rPr>
          <w:rFonts w:ascii="Times New Roman" w:eastAsia="Times New Roman" w:hAnsi="Times New Roman" w:cs="Times New Roman"/>
          <w:noProof/>
          <w:sz w:val="24"/>
          <w:szCs w:val="24"/>
        </w:rPr>
      </w:pPr>
      <w:r w:rsidRPr="009A7D3A">
        <w:rPr>
          <w:rFonts w:ascii="Times New Roman" w:hAnsi="Times New Roman" w:cs="Times New Roman"/>
          <w:sz w:val="24"/>
          <w:szCs w:val="24"/>
        </w:rPr>
        <w:t xml:space="preserve">1.1. the procedures by which an electronic communications merchant with a significant market power and for which the Public Utilities Commission (hereinafter – the Regulator) has determined the obligation in the field of access or interconnection shall develop and publish the reference </w:t>
      </w:r>
      <w:r w:rsidR="004B4797" w:rsidRPr="004B4797">
        <w:rPr>
          <w:rFonts w:ascii="Times New Roman" w:hAnsi="Times New Roman" w:cs="Times New Roman"/>
          <w:sz w:val="24"/>
          <w:szCs w:val="24"/>
        </w:rPr>
        <w:t xml:space="preserve">interconnection </w:t>
      </w:r>
      <w:r w:rsidRPr="009A7D3A">
        <w:rPr>
          <w:rFonts w:ascii="Times New Roman" w:hAnsi="Times New Roman" w:cs="Times New Roman"/>
          <w:sz w:val="24"/>
          <w:szCs w:val="24"/>
        </w:rPr>
        <w:t>offer (hereinafter – the reference offer);</w:t>
      </w:r>
    </w:p>
    <w:p w14:paraId="1CEFC889" w14:textId="77777777" w:rsidR="000C312A" w:rsidRPr="009A7D3A" w:rsidRDefault="000C312A" w:rsidP="000C312A">
      <w:pPr>
        <w:spacing w:after="0" w:line="240" w:lineRule="auto"/>
        <w:ind w:firstLine="709"/>
        <w:jc w:val="both"/>
        <w:rPr>
          <w:rFonts w:ascii="Times New Roman" w:eastAsia="Times New Roman" w:hAnsi="Times New Roman" w:cs="Times New Roman"/>
          <w:noProof/>
          <w:sz w:val="24"/>
          <w:szCs w:val="24"/>
        </w:rPr>
      </w:pPr>
      <w:r w:rsidRPr="009A7D3A">
        <w:rPr>
          <w:rFonts w:ascii="Times New Roman" w:hAnsi="Times New Roman" w:cs="Times New Roman"/>
          <w:sz w:val="24"/>
          <w:szCs w:val="24"/>
        </w:rPr>
        <w:t>1.2. the requirements for the information to be included in the reference offer, its required level of detail and publication of the reference offer.</w:t>
      </w:r>
    </w:p>
    <w:p w14:paraId="35ECED96" w14:textId="77777777" w:rsidR="000C312A" w:rsidRPr="009A7D3A" w:rsidRDefault="000C312A" w:rsidP="000C312A">
      <w:pPr>
        <w:spacing w:after="0" w:line="240" w:lineRule="auto"/>
        <w:jc w:val="both"/>
        <w:rPr>
          <w:rFonts w:ascii="Times New Roman" w:eastAsia="Times New Roman" w:hAnsi="Times New Roman" w:cs="Times New Roman"/>
          <w:i/>
          <w:iCs/>
          <w:noProof/>
          <w:sz w:val="24"/>
          <w:szCs w:val="24"/>
        </w:rPr>
      </w:pPr>
      <w:r w:rsidRPr="009A7D3A">
        <w:rPr>
          <w:rFonts w:ascii="Times New Roman" w:hAnsi="Times New Roman" w:cs="Times New Roman"/>
          <w:i/>
          <w:iCs/>
          <w:sz w:val="24"/>
          <w:szCs w:val="24"/>
        </w:rPr>
        <w:t>[Decision No. 1/11 of BPUC of 20 August 2015]</w:t>
      </w:r>
    </w:p>
    <w:p w14:paraId="506D4873" w14:textId="77777777" w:rsidR="000C312A" w:rsidRPr="009A7D3A" w:rsidRDefault="000C312A" w:rsidP="000C312A">
      <w:pPr>
        <w:spacing w:after="0" w:line="240" w:lineRule="auto"/>
        <w:jc w:val="both"/>
        <w:rPr>
          <w:rFonts w:ascii="Times New Roman" w:eastAsia="Times New Roman" w:hAnsi="Times New Roman" w:cs="Times New Roman"/>
          <w:noProof/>
          <w:sz w:val="24"/>
          <w:szCs w:val="24"/>
        </w:rPr>
      </w:pPr>
      <w:bookmarkStart w:id="4" w:name="n2"/>
      <w:bookmarkStart w:id="5" w:name="n-509561"/>
      <w:bookmarkEnd w:id="4"/>
      <w:bookmarkEnd w:id="5"/>
    </w:p>
    <w:p w14:paraId="5D6367B6" w14:textId="757CD110" w:rsidR="000C312A" w:rsidRPr="009A7D3A" w:rsidRDefault="000C312A" w:rsidP="000C312A">
      <w:pPr>
        <w:spacing w:after="0" w:line="240" w:lineRule="auto"/>
        <w:jc w:val="center"/>
        <w:rPr>
          <w:rFonts w:ascii="Times New Roman" w:eastAsia="Times New Roman" w:hAnsi="Times New Roman" w:cs="Times New Roman"/>
          <w:b/>
          <w:bCs/>
          <w:noProof/>
          <w:sz w:val="24"/>
          <w:szCs w:val="24"/>
        </w:rPr>
      </w:pPr>
      <w:r w:rsidRPr="009A7D3A">
        <w:rPr>
          <w:rFonts w:ascii="Times New Roman" w:hAnsi="Times New Roman" w:cs="Times New Roman"/>
          <w:b/>
          <w:bCs/>
          <w:sz w:val="24"/>
          <w:szCs w:val="24"/>
        </w:rPr>
        <w:t>II. Information to be Included in the Reference Offer</w:t>
      </w:r>
    </w:p>
    <w:p w14:paraId="792E1C2B" w14:textId="77777777" w:rsidR="000C312A" w:rsidRPr="009A7D3A" w:rsidRDefault="000C312A" w:rsidP="000C312A">
      <w:pPr>
        <w:spacing w:after="0" w:line="240" w:lineRule="auto"/>
        <w:jc w:val="both"/>
        <w:rPr>
          <w:rFonts w:ascii="Times New Roman" w:eastAsia="Times New Roman" w:hAnsi="Times New Roman" w:cs="Times New Roman"/>
          <w:noProof/>
          <w:sz w:val="24"/>
          <w:szCs w:val="24"/>
        </w:rPr>
      </w:pPr>
      <w:bookmarkStart w:id="6" w:name="p-509562"/>
      <w:bookmarkEnd w:id="6"/>
    </w:p>
    <w:p w14:paraId="498E9140" w14:textId="0B814483" w:rsidR="000C312A" w:rsidRPr="009A7D3A" w:rsidRDefault="000C312A" w:rsidP="000C312A">
      <w:pPr>
        <w:spacing w:after="0" w:line="240" w:lineRule="auto"/>
        <w:jc w:val="both"/>
        <w:rPr>
          <w:rFonts w:ascii="Times New Roman" w:eastAsia="Times New Roman" w:hAnsi="Times New Roman" w:cs="Times New Roman"/>
          <w:noProof/>
          <w:sz w:val="24"/>
          <w:szCs w:val="24"/>
        </w:rPr>
      </w:pPr>
      <w:r w:rsidRPr="009A7D3A">
        <w:rPr>
          <w:rFonts w:ascii="Times New Roman" w:hAnsi="Times New Roman" w:cs="Times New Roman"/>
          <w:sz w:val="24"/>
          <w:szCs w:val="24"/>
        </w:rPr>
        <w:t>2. A merchant shall include the general and special information in the reference offer.</w:t>
      </w:r>
      <w:bookmarkStart w:id="7" w:name="p2"/>
      <w:bookmarkEnd w:id="7"/>
    </w:p>
    <w:p w14:paraId="687DB26A" w14:textId="77777777" w:rsidR="000C312A" w:rsidRPr="009A7D3A" w:rsidRDefault="000C312A" w:rsidP="000C312A">
      <w:pPr>
        <w:spacing w:after="0" w:line="240" w:lineRule="auto"/>
        <w:jc w:val="both"/>
        <w:rPr>
          <w:rFonts w:ascii="Times New Roman" w:eastAsia="Times New Roman" w:hAnsi="Times New Roman" w:cs="Times New Roman"/>
          <w:noProof/>
          <w:sz w:val="24"/>
          <w:szCs w:val="24"/>
        </w:rPr>
      </w:pPr>
      <w:bookmarkStart w:id="8" w:name="p-619153"/>
      <w:bookmarkEnd w:id="8"/>
    </w:p>
    <w:p w14:paraId="7D671FCF" w14:textId="78FBA1DE" w:rsidR="000C312A" w:rsidRPr="009A7D3A" w:rsidRDefault="000C312A" w:rsidP="000C312A">
      <w:pPr>
        <w:spacing w:after="0" w:line="240" w:lineRule="auto"/>
        <w:jc w:val="both"/>
        <w:rPr>
          <w:rFonts w:ascii="Times New Roman" w:eastAsia="Times New Roman" w:hAnsi="Times New Roman" w:cs="Times New Roman"/>
          <w:noProof/>
          <w:sz w:val="24"/>
          <w:szCs w:val="24"/>
        </w:rPr>
      </w:pPr>
      <w:r w:rsidRPr="009A7D3A">
        <w:rPr>
          <w:rFonts w:ascii="Times New Roman" w:hAnsi="Times New Roman" w:cs="Times New Roman"/>
          <w:sz w:val="24"/>
          <w:szCs w:val="24"/>
        </w:rPr>
        <w:t>3. A merchant shall include the following general information in the reference offer:</w:t>
      </w:r>
      <w:bookmarkStart w:id="9" w:name="p3"/>
      <w:bookmarkEnd w:id="9"/>
    </w:p>
    <w:p w14:paraId="783C470D" w14:textId="77777777" w:rsidR="000C312A" w:rsidRPr="009A7D3A" w:rsidRDefault="000C312A" w:rsidP="000C312A">
      <w:pPr>
        <w:spacing w:after="0" w:line="240" w:lineRule="auto"/>
        <w:ind w:firstLine="709"/>
        <w:jc w:val="both"/>
        <w:rPr>
          <w:rFonts w:ascii="Times New Roman" w:eastAsia="Times New Roman" w:hAnsi="Times New Roman" w:cs="Times New Roman"/>
          <w:noProof/>
          <w:sz w:val="24"/>
          <w:szCs w:val="24"/>
        </w:rPr>
      </w:pPr>
      <w:r w:rsidRPr="009A7D3A">
        <w:rPr>
          <w:rFonts w:ascii="Times New Roman" w:hAnsi="Times New Roman" w:cs="Times New Roman"/>
          <w:sz w:val="24"/>
          <w:szCs w:val="24"/>
        </w:rPr>
        <w:t>3.1. the offered wholesale services and descriptions thereof by including the used technologies, also the type of signalling system and audio codecs which are supported in the electronic communications network of the merchant;</w:t>
      </w:r>
    </w:p>
    <w:p w14:paraId="3B7EAB7E" w14:textId="77777777" w:rsidR="000C312A" w:rsidRPr="009A7D3A" w:rsidRDefault="000C312A" w:rsidP="000C312A">
      <w:pPr>
        <w:spacing w:after="0" w:line="240" w:lineRule="auto"/>
        <w:ind w:firstLine="709"/>
        <w:jc w:val="both"/>
        <w:rPr>
          <w:rFonts w:ascii="Times New Roman" w:eastAsia="Times New Roman" w:hAnsi="Times New Roman" w:cs="Times New Roman"/>
          <w:noProof/>
          <w:sz w:val="24"/>
          <w:szCs w:val="24"/>
        </w:rPr>
      </w:pPr>
      <w:r w:rsidRPr="009A7D3A">
        <w:rPr>
          <w:rFonts w:ascii="Times New Roman" w:hAnsi="Times New Roman" w:cs="Times New Roman"/>
          <w:sz w:val="24"/>
          <w:szCs w:val="24"/>
        </w:rPr>
        <w:t>3.2. the procedures and time periods for the application for and installation of the wholesale services;</w:t>
      </w:r>
    </w:p>
    <w:p w14:paraId="0585DEAA" w14:textId="77777777" w:rsidR="000C312A" w:rsidRPr="009A7D3A" w:rsidRDefault="000C312A" w:rsidP="000C312A">
      <w:pPr>
        <w:spacing w:after="0" w:line="240" w:lineRule="auto"/>
        <w:ind w:firstLine="709"/>
        <w:jc w:val="both"/>
        <w:rPr>
          <w:rFonts w:ascii="Times New Roman" w:eastAsia="Times New Roman" w:hAnsi="Times New Roman" w:cs="Times New Roman"/>
          <w:noProof/>
          <w:sz w:val="24"/>
          <w:szCs w:val="24"/>
        </w:rPr>
      </w:pPr>
      <w:r w:rsidRPr="009A7D3A">
        <w:rPr>
          <w:rFonts w:ascii="Times New Roman" w:hAnsi="Times New Roman" w:cs="Times New Roman"/>
          <w:sz w:val="24"/>
          <w:szCs w:val="24"/>
        </w:rPr>
        <w:t>3.3. the procedures for the informing of the changes planned in the electronic communications network, including of the additional costs in relation to introduction of changes;</w:t>
      </w:r>
    </w:p>
    <w:p w14:paraId="7BBBC3B8" w14:textId="77777777" w:rsidR="000C312A" w:rsidRPr="009A7D3A" w:rsidRDefault="000C312A" w:rsidP="000C312A">
      <w:pPr>
        <w:spacing w:after="0" w:line="240" w:lineRule="auto"/>
        <w:ind w:firstLine="709"/>
        <w:jc w:val="both"/>
        <w:rPr>
          <w:rFonts w:ascii="Times New Roman" w:eastAsia="Times New Roman" w:hAnsi="Times New Roman" w:cs="Times New Roman"/>
          <w:noProof/>
          <w:sz w:val="24"/>
          <w:szCs w:val="24"/>
        </w:rPr>
      </w:pPr>
      <w:r w:rsidRPr="009A7D3A">
        <w:rPr>
          <w:rFonts w:ascii="Times New Roman" w:hAnsi="Times New Roman" w:cs="Times New Roman"/>
          <w:sz w:val="24"/>
          <w:szCs w:val="24"/>
        </w:rPr>
        <w:t>3.4. the technical provisions, requirements and conditions, including the restrictions of technical nature, provisions for electrical safety and electromagnetic compatibility, and also references to the relevant Latvian national standards, standards of international and regional standardisation organisations or standards of certain sectors, authorities and merchants adapted in the status of the Latvian national standard and registered in accordance with the specified procedures;</w:t>
      </w:r>
    </w:p>
    <w:p w14:paraId="6D50713D" w14:textId="77777777" w:rsidR="000C312A" w:rsidRPr="009A7D3A" w:rsidRDefault="000C312A" w:rsidP="000C312A">
      <w:pPr>
        <w:spacing w:after="0" w:line="240" w:lineRule="auto"/>
        <w:ind w:firstLine="709"/>
        <w:jc w:val="both"/>
        <w:rPr>
          <w:rFonts w:ascii="Times New Roman" w:eastAsia="Times New Roman" w:hAnsi="Times New Roman" w:cs="Times New Roman"/>
          <w:noProof/>
          <w:sz w:val="24"/>
          <w:szCs w:val="24"/>
        </w:rPr>
      </w:pPr>
      <w:r w:rsidRPr="009A7D3A">
        <w:rPr>
          <w:rFonts w:ascii="Times New Roman" w:hAnsi="Times New Roman" w:cs="Times New Roman"/>
          <w:sz w:val="24"/>
          <w:szCs w:val="24"/>
        </w:rPr>
        <w:lastRenderedPageBreak/>
        <w:t>3.5. the description of the measures necessary for the protection and safety of electronic networks, co-operation between the parties and provision of mutual information regarding safety hazards or violations, including unauthorised use of the interconnected electronic communications networks or equipment, measures for ensuring the integrity and interoperability of electronic communications networks and services in conformity with the technologies used in such electronic communications networks and in the provision of electronic communications services;</w:t>
      </w:r>
    </w:p>
    <w:p w14:paraId="421513B1" w14:textId="77777777" w:rsidR="000C312A" w:rsidRPr="009A7D3A" w:rsidRDefault="000C312A" w:rsidP="000C312A">
      <w:pPr>
        <w:spacing w:after="0" w:line="240" w:lineRule="auto"/>
        <w:ind w:firstLine="709"/>
        <w:jc w:val="both"/>
        <w:rPr>
          <w:rFonts w:ascii="Times New Roman" w:eastAsia="Times New Roman" w:hAnsi="Times New Roman" w:cs="Times New Roman"/>
          <w:noProof/>
          <w:sz w:val="24"/>
          <w:szCs w:val="24"/>
        </w:rPr>
      </w:pPr>
      <w:r w:rsidRPr="009A7D3A">
        <w:rPr>
          <w:rFonts w:ascii="Times New Roman" w:hAnsi="Times New Roman" w:cs="Times New Roman"/>
          <w:sz w:val="24"/>
          <w:szCs w:val="24"/>
        </w:rPr>
        <w:t>3.6. the procedure for damage reporting and levels of the damage elimination services;</w:t>
      </w:r>
    </w:p>
    <w:p w14:paraId="3DA141BF" w14:textId="77777777" w:rsidR="000C312A" w:rsidRPr="009A7D3A" w:rsidRDefault="000C312A" w:rsidP="000C312A">
      <w:pPr>
        <w:spacing w:after="0" w:line="240" w:lineRule="auto"/>
        <w:ind w:firstLine="709"/>
        <w:jc w:val="both"/>
        <w:rPr>
          <w:rFonts w:ascii="Times New Roman" w:eastAsia="Times New Roman" w:hAnsi="Times New Roman" w:cs="Times New Roman"/>
          <w:noProof/>
          <w:sz w:val="24"/>
          <w:szCs w:val="24"/>
        </w:rPr>
      </w:pPr>
      <w:r w:rsidRPr="009A7D3A">
        <w:rPr>
          <w:rFonts w:ascii="Times New Roman" w:hAnsi="Times New Roman" w:cs="Times New Roman"/>
          <w:sz w:val="24"/>
          <w:szCs w:val="24"/>
        </w:rPr>
        <w:t>3.7. the provisions for access to technical premises and equipment;</w:t>
      </w:r>
    </w:p>
    <w:p w14:paraId="6E640B0F" w14:textId="77777777" w:rsidR="000C312A" w:rsidRPr="009A7D3A" w:rsidRDefault="000C312A" w:rsidP="000C312A">
      <w:pPr>
        <w:spacing w:after="0" w:line="240" w:lineRule="auto"/>
        <w:ind w:firstLine="709"/>
        <w:jc w:val="both"/>
        <w:rPr>
          <w:rFonts w:ascii="Times New Roman" w:eastAsia="Times New Roman" w:hAnsi="Times New Roman" w:cs="Times New Roman"/>
          <w:noProof/>
          <w:sz w:val="24"/>
          <w:szCs w:val="24"/>
        </w:rPr>
      </w:pPr>
      <w:r w:rsidRPr="009A7D3A">
        <w:rPr>
          <w:rFonts w:ascii="Times New Roman" w:hAnsi="Times New Roman" w:cs="Times New Roman"/>
          <w:sz w:val="24"/>
          <w:szCs w:val="24"/>
        </w:rPr>
        <w:t>3.8. the provisions for the quality of the offered wholesale services;</w:t>
      </w:r>
    </w:p>
    <w:p w14:paraId="0F093404" w14:textId="77777777" w:rsidR="000C312A" w:rsidRPr="009A7D3A" w:rsidRDefault="000C312A" w:rsidP="000C312A">
      <w:pPr>
        <w:spacing w:after="0" w:line="240" w:lineRule="auto"/>
        <w:ind w:firstLine="709"/>
        <w:jc w:val="both"/>
        <w:rPr>
          <w:rFonts w:ascii="Times New Roman" w:eastAsia="Times New Roman" w:hAnsi="Times New Roman" w:cs="Times New Roman"/>
          <w:noProof/>
          <w:sz w:val="24"/>
          <w:szCs w:val="24"/>
        </w:rPr>
      </w:pPr>
      <w:r w:rsidRPr="009A7D3A">
        <w:rPr>
          <w:rFonts w:ascii="Times New Roman" w:hAnsi="Times New Roman" w:cs="Times New Roman"/>
          <w:sz w:val="24"/>
          <w:szCs w:val="24"/>
        </w:rPr>
        <w:t>3.9. the provisions, procedures and time periods for the settlement of payments;</w:t>
      </w:r>
    </w:p>
    <w:p w14:paraId="6F1D30C7" w14:textId="77777777" w:rsidR="000C312A" w:rsidRPr="009A7D3A" w:rsidRDefault="000C312A" w:rsidP="000C312A">
      <w:pPr>
        <w:spacing w:after="0" w:line="240" w:lineRule="auto"/>
        <w:ind w:firstLine="709"/>
        <w:jc w:val="both"/>
        <w:rPr>
          <w:rFonts w:ascii="Times New Roman" w:eastAsia="Times New Roman" w:hAnsi="Times New Roman" w:cs="Times New Roman"/>
          <w:noProof/>
          <w:sz w:val="24"/>
          <w:szCs w:val="24"/>
        </w:rPr>
      </w:pPr>
      <w:r w:rsidRPr="009A7D3A">
        <w:rPr>
          <w:rFonts w:ascii="Times New Roman" w:hAnsi="Times New Roman" w:cs="Times New Roman"/>
          <w:sz w:val="24"/>
          <w:szCs w:val="24"/>
        </w:rPr>
        <w:t>3.10. detailed description of the offered services, elements and activities thereof and tariffs, as well as detailed description of service elements and activities which may be taken by the applicant himself or herself upon the choice of the applicant;</w:t>
      </w:r>
    </w:p>
    <w:p w14:paraId="4DE52C64" w14:textId="77777777" w:rsidR="000C312A" w:rsidRPr="009A7D3A" w:rsidRDefault="000C312A" w:rsidP="000C312A">
      <w:pPr>
        <w:spacing w:after="0" w:line="240" w:lineRule="auto"/>
        <w:ind w:firstLine="709"/>
        <w:jc w:val="both"/>
        <w:rPr>
          <w:rFonts w:ascii="Times New Roman" w:eastAsia="Times New Roman" w:hAnsi="Times New Roman" w:cs="Times New Roman"/>
          <w:noProof/>
          <w:sz w:val="24"/>
          <w:szCs w:val="24"/>
        </w:rPr>
      </w:pPr>
      <w:r w:rsidRPr="009A7D3A">
        <w:rPr>
          <w:rFonts w:ascii="Times New Roman" w:hAnsi="Times New Roman" w:cs="Times New Roman"/>
          <w:sz w:val="24"/>
          <w:szCs w:val="24"/>
        </w:rPr>
        <w:t>3.11. liability of the parties;</w:t>
      </w:r>
    </w:p>
    <w:p w14:paraId="6BE4D9F5" w14:textId="77777777" w:rsidR="000C312A" w:rsidRPr="009A7D3A" w:rsidRDefault="000C312A" w:rsidP="000C312A">
      <w:pPr>
        <w:spacing w:after="0" w:line="240" w:lineRule="auto"/>
        <w:ind w:firstLine="709"/>
        <w:jc w:val="both"/>
        <w:rPr>
          <w:rFonts w:ascii="Times New Roman" w:eastAsia="Times New Roman" w:hAnsi="Times New Roman" w:cs="Times New Roman"/>
          <w:noProof/>
          <w:sz w:val="24"/>
          <w:szCs w:val="24"/>
        </w:rPr>
      </w:pPr>
      <w:r w:rsidRPr="009A7D3A">
        <w:rPr>
          <w:rFonts w:ascii="Times New Roman" w:hAnsi="Times New Roman" w:cs="Times New Roman"/>
          <w:sz w:val="24"/>
          <w:szCs w:val="24"/>
        </w:rPr>
        <w:t>3.12. the procedures for the settlement of mutual disputes;</w:t>
      </w:r>
    </w:p>
    <w:p w14:paraId="458A7FD8" w14:textId="77777777" w:rsidR="000C312A" w:rsidRPr="009A7D3A" w:rsidRDefault="000C312A" w:rsidP="000C312A">
      <w:pPr>
        <w:spacing w:after="0" w:line="240" w:lineRule="auto"/>
        <w:ind w:firstLine="709"/>
        <w:jc w:val="both"/>
        <w:rPr>
          <w:rFonts w:ascii="Times New Roman" w:eastAsia="Times New Roman" w:hAnsi="Times New Roman" w:cs="Times New Roman"/>
          <w:noProof/>
          <w:sz w:val="24"/>
          <w:szCs w:val="24"/>
        </w:rPr>
      </w:pPr>
      <w:r w:rsidRPr="009A7D3A">
        <w:rPr>
          <w:rFonts w:ascii="Times New Roman" w:hAnsi="Times New Roman" w:cs="Times New Roman"/>
          <w:sz w:val="24"/>
          <w:szCs w:val="24"/>
        </w:rPr>
        <w:t>3.13. the procedures and time frames for conducting the negotiations on the conclusion of the contract on wholesale services;</w:t>
      </w:r>
    </w:p>
    <w:p w14:paraId="6D575469" w14:textId="77777777" w:rsidR="000C312A" w:rsidRPr="009A7D3A" w:rsidRDefault="000C312A" w:rsidP="000C312A">
      <w:pPr>
        <w:spacing w:after="0" w:line="240" w:lineRule="auto"/>
        <w:ind w:firstLine="709"/>
        <w:jc w:val="both"/>
        <w:rPr>
          <w:rFonts w:ascii="Times New Roman" w:eastAsia="Times New Roman" w:hAnsi="Times New Roman" w:cs="Times New Roman"/>
          <w:noProof/>
          <w:sz w:val="24"/>
          <w:szCs w:val="24"/>
        </w:rPr>
      </w:pPr>
      <w:r w:rsidRPr="009A7D3A">
        <w:rPr>
          <w:rFonts w:ascii="Times New Roman" w:hAnsi="Times New Roman" w:cs="Times New Roman"/>
          <w:sz w:val="24"/>
          <w:szCs w:val="24"/>
        </w:rPr>
        <w:t>3.14. the procedures for concluding the contract and provisions for making amendments;</w:t>
      </w:r>
    </w:p>
    <w:p w14:paraId="4A4E4345" w14:textId="77777777" w:rsidR="000C312A" w:rsidRPr="009A7D3A" w:rsidRDefault="000C312A" w:rsidP="000C312A">
      <w:pPr>
        <w:spacing w:after="0" w:line="240" w:lineRule="auto"/>
        <w:ind w:firstLine="709"/>
        <w:jc w:val="both"/>
        <w:rPr>
          <w:rFonts w:ascii="Times New Roman" w:eastAsia="Times New Roman" w:hAnsi="Times New Roman" w:cs="Times New Roman"/>
          <w:noProof/>
          <w:sz w:val="24"/>
          <w:szCs w:val="24"/>
        </w:rPr>
      </w:pPr>
      <w:r w:rsidRPr="009A7D3A">
        <w:rPr>
          <w:rFonts w:ascii="Times New Roman" w:hAnsi="Times New Roman" w:cs="Times New Roman"/>
          <w:sz w:val="24"/>
          <w:szCs w:val="24"/>
        </w:rPr>
        <w:t>3.15. the termination of the provision of wholesale services, provisions for the termination of the contract;</w:t>
      </w:r>
    </w:p>
    <w:p w14:paraId="3777831C" w14:textId="77777777" w:rsidR="000C312A" w:rsidRPr="009A7D3A" w:rsidRDefault="000C312A" w:rsidP="000C312A">
      <w:pPr>
        <w:spacing w:after="0" w:line="240" w:lineRule="auto"/>
        <w:ind w:firstLine="709"/>
        <w:jc w:val="both"/>
        <w:rPr>
          <w:rFonts w:ascii="Times New Roman" w:eastAsia="Times New Roman" w:hAnsi="Times New Roman" w:cs="Times New Roman"/>
          <w:noProof/>
          <w:sz w:val="24"/>
          <w:szCs w:val="24"/>
        </w:rPr>
      </w:pPr>
      <w:r w:rsidRPr="009A7D3A">
        <w:rPr>
          <w:rFonts w:ascii="Times New Roman" w:hAnsi="Times New Roman" w:cs="Times New Roman"/>
          <w:sz w:val="24"/>
          <w:szCs w:val="24"/>
        </w:rPr>
        <w:t>3.16. the application form for the wholesale service;</w:t>
      </w:r>
    </w:p>
    <w:p w14:paraId="7EEDA93A" w14:textId="77777777" w:rsidR="000C312A" w:rsidRPr="009A7D3A" w:rsidRDefault="000C312A" w:rsidP="000C312A">
      <w:pPr>
        <w:spacing w:after="0" w:line="240" w:lineRule="auto"/>
        <w:ind w:firstLine="709"/>
        <w:jc w:val="both"/>
        <w:rPr>
          <w:rFonts w:ascii="Times New Roman" w:eastAsia="Times New Roman" w:hAnsi="Times New Roman" w:cs="Times New Roman"/>
          <w:noProof/>
          <w:sz w:val="24"/>
          <w:szCs w:val="24"/>
        </w:rPr>
      </w:pPr>
      <w:r w:rsidRPr="009A7D3A">
        <w:rPr>
          <w:rFonts w:ascii="Times New Roman" w:hAnsi="Times New Roman" w:cs="Times New Roman"/>
          <w:sz w:val="24"/>
          <w:szCs w:val="24"/>
        </w:rPr>
        <w:t>3.17. the sample contract for the wholesale service;</w:t>
      </w:r>
    </w:p>
    <w:p w14:paraId="7E821106" w14:textId="77777777" w:rsidR="000C312A" w:rsidRPr="009A7D3A" w:rsidRDefault="000C312A" w:rsidP="000C312A">
      <w:pPr>
        <w:spacing w:after="0" w:line="240" w:lineRule="auto"/>
        <w:ind w:firstLine="709"/>
        <w:jc w:val="both"/>
        <w:rPr>
          <w:rFonts w:ascii="Times New Roman" w:eastAsia="Times New Roman" w:hAnsi="Times New Roman" w:cs="Times New Roman"/>
          <w:noProof/>
          <w:sz w:val="24"/>
          <w:szCs w:val="24"/>
        </w:rPr>
      </w:pPr>
      <w:r w:rsidRPr="009A7D3A">
        <w:rPr>
          <w:rFonts w:ascii="Times New Roman" w:hAnsi="Times New Roman" w:cs="Times New Roman"/>
          <w:sz w:val="24"/>
          <w:szCs w:val="24"/>
        </w:rPr>
        <w:t>3.18. the contact details of the responsible person of the merchant.</w:t>
      </w:r>
    </w:p>
    <w:p w14:paraId="5ED4163A" w14:textId="77777777" w:rsidR="000C312A" w:rsidRPr="009A7D3A" w:rsidRDefault="000C312A" w:rsidP="000C312A">
      <w:pPr>
        <w:spacing w:after="0" w:line="240" w:lineRule="auto"/>
        <w:jc w:val="both"/>
        <w:rPr>
          <w:rFonts w:ascii="Times New Roman" w:eastAsia="Times New Roman" w:hAnsi="Times New Roman" w:cs="Times New Roman"/>
          <w:i/>
          <w:iCs/>
          <w:noProof/>
          <w:sz w:val="24"/>
          <w:szCs w:val="24"/>
        </w:rPr>
      </w:pPr>
      <w:r w:rsidRPr="009A7D3A">
        <w:rPr>
          <w:rFonts w:ascii="Times New Roman" w:hAnsi="Times New Roman" w:cs="Times New Roman"/>
          <w:i/>
          <w:iCs/>
          <w:sz w:val="24"/>
          <w:szCs w:val="24"/>
        </w:rPr>
        <w:t>[Decision No. 1/12 of the BPUC of 30 March 2017]</w:t>
      </w:r>
    </w:p>
    <w:p w14:paraId="45787773" w14:textId="77777777" w:rsidR="000C312A" w:rsidRPr="009A7D3A" w:rsidRDefault="000C312A" w:rsidP="000C312A">
      <w:pPr>
        <w:spacing w:after="0" w:line="240" w:lineRule="auto"/>
        <w:jc w:val="both"/>
        <w:rPr>
          <w:rFonts w:ascii="Times New Roman" w:eastAsia="Times New Roman" w:hAnsi="Times New Roman" w:cs="Times New Roman"/>
          <w:noProof/>
          <w:sz w:val="24"/>
          <w:szCs w:val="24"/>
        </w:rPr>
      </w:pPr>
      <w:bookmarkStart w:id="10" w:name="p-509564"/>
      <w:bookmarkEnd w:id="10"/>
    </w:p>
    <w:p w14:paraId="0965A370" w14:textId="381318B2" w:rsidR="000C312A" w:rsidRPr="009A7D3A" w:rsidRDefault="000C312A" w:rsidP="000C312A">
      <w:pPr>
        <w:spacing w:after="0" w:line="240" w:lineRule="auto"/>
        <w:jc w:val="both"/>
        <w:rPr>
          <w:rFonts w:ascii="Times New Roman" w:eastAsia="Times New Roman" w:hAnsi="Times New Roman" w:cs="Times New Roman"/>
          <w:noProof/>
          <w:sz w:val="24"/>
          <w:szCs w:val="24"/>
        </w:rPr>
      </w:pPr>
      <w:r w:rsidRPr="009A7D3A">
        <w:rPr>
          <w:rFonts w:ascii="Times New Roman" w:hAnsi="Times New Roman" w:cs="Times New Roman"/>
          <w:sz w:val="24"/>
          <w:szCs w:val="24"/>
        </w:rPr>
        <w:t xml:space="preserve">4. A merchant shall include the following special information in the </w:t>
      </w:r>
      <w:r w:rsidR="004B4797" w:rsidRPr="004B4797">
        <w:rPr>
          <w:rFonts w:ascii="Times New Roman" w:hAnsi="Times New Roman" w:cs="Times New Roman"/>
          <w:sz w:val="24"/>
          <w:szCs w:val="24"/>
        </w:rPr>
        <w:t xml:space="preserve">reference </w:t>
      </w:r>
      <w:r w:rsidRPr="009A7D3A">
        <w:rPr>
          <w:rFonts w:ascii="Times New Roman" w:hAnsi="Times New Roman" w:cs="Times New Roman"/>
          <w:sz w:val="24"/>
          <w:szCs w:val="24"/>
        </w:rPr>
        <w:t>interconnection offer:</w:t>
      </w:r>
      <w:bookmarkStart w:id="11" w:name="p4"/>
      <w:bookmarkEnd w:id="11"/>
    </w:p>
    <w:p w14:paraId="1B3BB68A" w14:textId="77777777" w:rsidR="000C312A" w:rsidRPr="009A7D3A" w:rsidRDefault="000C312A" w:rsidP="000C312A">
      <w:pPr>
        <w:spacing w:after="0" w:line="240" w:lineRule="auto"/>
        <w:ind w:firstLine="709"/>
        <w:jc w:val="both"/>
        <w:rPr>
          <w:rFonts w:ascii="Times New Roman" w:eastAsia="Times New Roman" w:hAnsi="Times New Roman" w:cs="Times New Roman"/>
          <w:noProof/>
          <w:sz w:val="24"/>
          <w:szCs w:val="24"/>
        </w:rPr>
      </w:pPr>
      <w:r w:rsidRPr="009A7D3A">
        <w:rPr>
          <w:rFonts w:ascii="Times New Roman" w:hAnsi="Times New Roman" w:cs="Times New Roman"/>
          <w:sz w:val="24"/>
          <w:szCs w:val="24"/>
        </w:rPr>
        <w:t>4.1. forecasting of the traffic amount and provisions for the recording accounting of the traffic;</w:t>
      </w:r>
    </w:p>
    <w:p w14:paraId="5CD67E1C" w14:textId="77777777" w:rsidR="000C312A" w:rsidRPr="009A7D3A" w:rsidRDefault="000C312A" w:rsidP="000C312A">
      <w:pPr>
        <w:spacing w:after="0" w:line="240" w:lineRule="auto"/>
        <w:ind w:firstLine="709"/>
        <w:jc w:val="both"/>
        <w:rPr>
          <w:rFonts w:ascii="Times New Roman" w:eastAsia="Times New Roman" w:hAnsi="Times New Roman" w:cs="Times New Roman"/>
          <w:noProof/>
          <w:sz w:val="24"/>
          <w:szCs w:val="24"/>
        </w:rPr>
      </w:pPr>
      <w:r w:rsidRPr="009A7D3A">
        <w:rPr>
          <w:rFonts w:ascii="Times New Roman" w:hAnsi="Times New Roman" w:cs="Times New Roman"/>
          <w:sz w:val="24"/>
          <w:szCs w:val="24"/>
        </w:rPr>
        <w:t>4.2. the provisions for the actions of both parties upon change of the traffic;</w:t>
      </w:r>
    </w:p>
    <w:p w14:paraId="2BB0D7EF" w14:textId="77777777" w:rsidR="000C312A" w:rsidRPr="009A7D3A" w:rsidRDefault="000C312A" w:rsidP="000C312A">
      <w:pPr>
        <w:spacing w:after="0" w:line="240" w:lineRule="auto"/>
        <w:ind w:firstLine="709"/>
        <w:jc w:val="both"/>
        <w:rPr>
          <w:rFonts w:ascii="Times New Roman" w:eastAsia="Times New Roman" w:hAnsi="Times New Roman" w:cs="Times New Roman"/>
          <w:noProof/>
          <w:sz w:val="24"/>
          <w:szCs w:val="24"/>
        </w:rPr>
      </w:pPr>
      <w:r w:rsidRPr="009A7D3A">
        <w:rPr>
          <w:rFonts w:ascii="Times New Roman" w:hAnsi="Times New Roman" w:cs="Times New Roman"/>
          <w:sz w:val="24"/>
          <w:szCs w:val="24"/>
        </w:rPr>
        <w:t>4.3. the procedures and provisions for the establishment of interconnections;</w:t>
      </w:r>
    </w:p>
    <w:p w14:paraId="3A58A48C" w14:textId="77777777" w:rsidR="000C312A" w:rsidRPr="009A7D3A" w:rsidRDefault="000C312A" w:rsidP="000C312A">
      <w:pPr>
        <w:spacing w:after="0" w:line="240" w:lineRule="auto"/>
        <w:ind w:firstLine="709"/>
        <w:jc w:val="both"/>
        <w:rPr>
          <w:rFonts w:ascii="Times New Roman" w:eastAsia="Times New Roman" w:hAnsi="Times New Roman" w:cs="Times New Roman"/>
          <w:noProof/>
          <w:sz w:val="24"/>
          <w:szCs w:val="24"/>
        </w:rPr>
      </w:pPr>
      <w:r w:rsidRPr="009A7D3A">
        <w:rPr>
          <w:rFonts w:ascii="Times New Roman" w:hAnsi="Times New Roman" w:cs="Times New Roman"/>
          <w:sz w:val="24"/>
          <w:szCs w:val="24"/>
        </w:rPr>
        <w:t>4.4. the provisions for ensuring routing and transit services, including to ported numbers;</w:t>
      </w:r>
    </w:p>
    <w:p w14:paraId="75AD5597" w14:textId="77777777" w:rsidR="000C312A" w:rsidRPr="009A7D3A" w:rsidRDefault="000C312A" w:rsidP="000C312A">
      <w:pPr>
        <w:spacing w:after="0" w:line="240" w:lineRule="auto"/>
        <w:ind w:firstLine="709"/>
        <w:jc w:val="both"/>
        <w:rPr>
          <w:rFonts w:ascii="Times New Roman" w:eastAsia="Times New Roman" w:hAnsi="Times New Roman" w:cs="Times New Roman"/>
          <w:noProof/>
          <w:sz w:val="24"/>
          <w:szCs w:val="24"/>
        </w:rPr>
      </w:pPr>
      <w:r w:rsidRPr="009A7D3A">
        <w:rPr>
          <w:rFonts w:ascii="Times New Roman" w:hAnsi="Times New Roman" w:cs="Times New Roman"/>
          <w:sz w:val="24"/>
          <w:szCs w:val="24"/>
        </w:rPr>
        <w:t>4.5. the provisions for ensuring a carrier selection and carrier pre-selection services if the obligation to ensure such services is imposed on the merchant;</w:t>
      </w:r>
    </w:p>
    <w:p w14:paraId="15B96DAE" w14:textId="77777777" w:rsidR="000C312A" w:rsidRPr="009A7D3A" w:rsidRDefault="000C312A" w:rsidP="000C312A">
      <w:pPr>
        <w:spacing w:after="0" w:line="240" w:lineRule="auto"/>
        <w:ind w:firstLine="709"/>
        <w:jc w:val="both"/>
        <w:rPr>
          <w:rFonts w:ascii="Times New Roman" w:eastAsia="Times New Roman" w:hAnsi="Times New Roman" w:cs="Times New Roman"/>
          <w:noProof/>
          <w:sz w:val="24"/>
          <w:szCs w:val="24"/>
        </w:rPr>
      </w:pPr>
      <w:r w:rsidRPr="009A7D3A">
        <w:rPr>
          <w:rFonts w:ascii="Times New Roman" w:hAnsi="Times New Roman" w:cs="Times New Roman"/>
          <w:sz w:val="24"/>
          <w:szCs w:val="24"/>
        </w:rPr>
        <w:t>4.6. the provisions for the calling line identification;</w:t>
      </w:r>
    </w:p>
    <w:p w14:paraId="05B16E60" w14:textId="77777777" w:rsidR="000C312A" w:rsidRPr="009A7D3A" w:rsidRDefault="000C312A" w:rsidP="000C312A">
      <w:pPr>
        <w:spacing w:after="0" w:line="240" w:lineRule="auto"/>
        <w:ind w:firstLine="709"/>
        <w:jc w:val="both"/>
        <w:rPr>
          <w:rFonts w:ascii="Times New Roman" w:eastAsia="Times New Roman" w:hAnsi="Times New Roman" w:cs="Times New Roman"/>
          <w:noProof/>
          <w:sz w:val="24"/>
          <w:szCs w:val="24"/>
        </w:rPr>
      </w:pPr>
      <w:r w:rsidRPr="009A7D3A">
        <w:rPr>
          <w:rFonts w:ascii="Times New Roman" w:hAnsi="Times New Roman" w:cs="Times New Roman"/>
          <w:sz w:val="24"/>
          <w:szCs w:val="24"/>
        </w:rPr>
        <w:t>4.7. the procedures and provisions for the identification code maintenance and provision of other services related to the use of numbering;</w:t>
      </w:r>
    </w:p>
    <w:p w14:paraId="02E41B44" w14:textId="77777777" w:rsidR="000C312A" w:rsidRPr="009A7D3A" w:rsidRDefault="000C312A" w:rsidP="000C312A">
      <w:pPr>
        <w:spacing w:after="0" w:line="240" w:lineRule="auto"/>
        <w:ind w:firstLine="709"/>
        <w:jc w:val="both"/>
        <w:rPr>
          <w:rFonts w:ascii="Times New Roman" w:eastAsia="Times New Roman" w:hAnsi="Times New Roman" w:cs="Times New Roman"/>
          <w:noProof/>
          <w:sz w:val="24"/>
          <w:szCs w:val="24"/>
        </w:rPr>
      </w:pPr>
      <w:r w:rsidRPr="009A7D3A">
        <w:rPr>
          <w:rFonts w:ascii="Times New Roman" w:hAnsi="Times New Roman" w:cs="Times New Roman"/>
          <w:sz w:val="24"/>
          <w:szCs w:val="24"/>
        </w:rPr>
        <w:t>4.8. the procedures for the examination and testing of the established interconnections and scope thereof, examination of mutual compatibility of electronic communications networks and services, the procedures for informing of the results of the examination and possible interruptions of services;</w:t>
      </w:r>
    </w:p>
    <w:p w14:paraId="03F6B0A3" w14:textId="59986FF4" w:rsidR="000C312A" w:rsidRPr="009A7D3A" w:rsidRDefault="000C312A" w:rsidP="000C312A">
      <w:pPr>
        <w:spacing w:after="0" w:line="240" w:lineRule="auto"/>
        <w:ind w:firstLine="709"/>
        <w:jc w:val="both"/>
        <w:rPr>
          <w:rFonts w:ascii="Times New Roman" w:eastAsia="Times New Roman" w:hAnsi="Times New Roman" w:cs="Times New Roman"/>
          <w:noProof/>
          <w:sz w:val="24"/>
          <w:szCs w:val="24"/>
        </w:rPr>
      </w:pPr>
      <w:r w:rsidRPr="009A7D3A">
        <w:rPr>
          <w:rFonts w:ascii="Times New Roman" w:hAnsi="Times New Roman" w:cs="Times New Roman"/>
          <w:sz w:val="24"/>
          <w:szCs w:val="24"/>
        </w:rPr>
        <w:t xml:space="preserve">4.9. the procedures by which routing of calls and access to numbers and electronic communications services shall be terminated, as well as the procedures for the settlement of mutual payments in cases when fraud </w:t>
      </w:r>
      <w:r w:rsidR="004B4797" w:rsidRPr="004B4797">
        <w:rPr>
          <w:rFonts w:ascii="Times New Roman" w:hAnsi="Times New Roman" w:cs="Times New Roman"/>
          <w:sz w:val="24"/>
          <w:szCs w:val="24"/>
        </w:rPr>
        <w:t>performed</w:t>
      </w:r>
      <w:r w:rsidR="004B4797" w:rsidRPr="004B4797">
        <w:rPr>
          <w:rFonts w:ascii="Times New Roman" w:hAnsi="Times New Roman" w:cs="Times New Roman"/>
          <w:sz w:val="24"/>
          <w:szCs w:val="24"/>
        </w:rPr>
        <w:t xml:space="preserve"> </w:t>
      </w:r>
      <w:r w:rsidRPr="009A7D3A">
        <w:rPr>
          <w:rFonts w:ascii="Times New Roman" w:hAnsi="Times New Roman" w:cs="Times New Roman"/>
          <w:sz w:val="24"/>
          <w:szCs w:val="24"/>
        </w:rPr>
        <w:t>us</w:t>
      </w:r>
      <w:r w:rsidR="004B4797">
        <w:rPr>
          <w:rFonts w:ascii="Times New Roman" w:hAnsi="Times New Roman" w:cs="Times New Roman"/>
          <w:sz w:val="24"/>
          <w:szCs w:val="24"/>
        </w:rPr>
        <w:t>ing</w:t>
      </w:r>
      <w:r w:rsidRPr="009A7D3A">
        <w:rPr>
          <w:rFonts w:ascii="Times New Roman" w:hAnsi="Times New Roman" w:cs="Times New Roman"/>
          <w:sz w:val="24"/>
          <w:szCs w:val="24"/>
        </w:rPr>
        <w:t xml:space="preserve"> numbering or incorrect use of numbering is </w:t>
      </w:r>
      <w:r w:rsidR="004B4797" w:rsidRPr="004B4797">
        <w:rPr>
          <w:rFonts w:ascii="Times New Roman" w:hAnsi="Times New Roman" w:cs="Times New Roman"/>
          <w:sz w:val="24"/>
          <w:szCs w:val="24"/>
        </w:rPr>
        <w:t>detected</w:t>
      </w:r>
      <w:r w:rsidRPr="009A7D3A">
        <w:rPr>
          <w:rFonts w:ascii="Times New Roman" w:hAnsi="Times New Roman" w:cs="Times New Roman"/>
          <w:sz w:val="24"/>
          <w:szCs w:val="24"/>
        </w:rPr>
        <w:t>.</w:t>
      </w:r>
    </w:p>
    <w:p w14:paraId="0B9D156F" w14:textId="77777777" w:rsidR="000C312A" w:rsidRPr="009A7D3A" w:rsidRDefault="000C312A" w:rsidP="000C312A">
      <w:pPr>
        <w:spacing w:after="0" w:line="240" w:lineRule="auto"/>
        <w:jc w:val="both"/>
        <w:rPr>
          <w:rFonts w:ascii="Times New Roman" w:eastAsia="Times New Roman" w:hAnsi="Times New Roman" w:cs="Times New Roman"/>
          <w:noProof/>
          <w:sz w:val="24"/>
          <w:szCs w:val="24"/>
        </w:rPr>
      </w:pPr>
      <w:bookmarkStart w:id="12" w:name="p-562087"/>
      <w:bookmarkEnd w:id="12"/>
    </w:p>
    <w:p w14:paraId="29E301C9" w14:textId="6104AE3C" w:rsidR="000C312A" w:rsidRPr="009A7D3A" w:rsidRDefault="000C312A" w:rsidP="000C312A">
      <w:pPr>
        <w:spacing w:after="0" w:line="240" w:lineRule="auto"/>
        <w:jc w:val="both"/>
        <w:rPr>
          <w:rFonts w:ascii="Times New Roman" w:eastAsia="Times New Roman" w:hAnsi="Times New Roman" w:cs="Times New Roman"/>
          <w:noProof/>
          <w:sz w:val="24"/>
          <w:szCs w:val="24"/>
        </w:rPr>
      </w:pPr>
      <w:r w:rsidRPr="009A7D3A">
        <w:rPr>
          <w:rFonts w:ascii="Times New Roman" w:hAnsi="Times New Roman" w:cs="Times New Roman"/>
          <w:sz w:val="24"/>
          <w:szCs w:val="24"/>
        </w:rPr>
        <w:t>5. [Decision No. 1/11 of the BPUC of 20 August 2015]</w:t>
      </w:r>
      <w:bookmarkStart w:id="13" w:name="p5"/>
      <w:bookmarkEnd w:id="13"/>
    </w:p>
    <w:p w14:paraId="0F6D9D7D" w14:textId="77777777" w:rsidR="000C312A" w:rsidRPr="009A7D3A" w:rsidRDefault="000C312A" w:rsidP="000C312A">
      <w:pPr>
        <w:spacing w:after="0" w:line="240" w:lineRule="auto"/>
        <w:jc w:val="both"/>
        <w:rPr>
          <w:rFonts w:ascii="Times New Roman" w:eastAsia="Times New Roman" w:hAnsi="Times New Roman" w:cs="Times New Roman"/>
          <w:noProof/>
          <w:sz w:val="24"/>
          <w:szCs w:val="24"/>
        </w:rPr>
      </w:pPr>
      <w:bookmarkStart w:id="14" w:name="p-509566"/>
      <w:bookmarkEnd w:id="14"/>
    </w:p>
    <w:p w14:paraId="04C838B5" w14:textId="244BEA70" w:rsidR="000C312A" w:rsidRPr="009A7D3A" w:rsidRDefault="000C312A" w:rsidP="000C312A">
      <w:pPr>
        <w:spacing w:after="0" w:line="240" w:lineRule="auto"/>
        <w:jc w:val="both"/>
        <w:rPr>
          <w:rFonts w:ascii="Times New Roman" w:eastAsia="Times New Roman" w:hAnsi="Times New Roman" w:cs="Times New Roman"/>
          <w:noProof/>
          <w:sz w:val="24"/>
          <w:szCs w:val="24"/>
        </w:rPr>
      </w:pPr>
      <w:r w:rsidRPr="009A7D3A">
        <w:rPr>
          <w:rFonts w:ascii="Times New Roman" w:hAnsi="Times New Roman" w:cs="Times New Roman"/>
          <w:sz w:val="24"/>
          <w:szCs w:val="24"/>
        </w:rPr>
        <w:lastRenderedPageBreak/>
        <w:t>6. A merchant shall determine the procedures by which the information which the merchant has specified as restricted access information in the reference offer in accordance with the procedures laid down in laws and regulations shall be available to another merchant. The merchant shall publish these procedures simultaneously with the reference offer.</w:t>
      </w:r>
      <w:bookmarkStart w:id="15" w:name="p6"/>
      <w:bookmarkEnd w:id="15"/>
    </w:p>
    <w:p w14:paraId="4B408426" w14:textId="77777777" w:rsidR="000C312A" w:rsidRPr="009A7D3A" w:rsidRDefault="000C312A" w:rsidP="000C312A">
      <w:pPr>
        <w:spacing w:after="0" w:line="240" w:lineRule="auto"/>
        <w:jc w:val="both"/>
        <w:rPr>
          <w:rFonts w:ascii="Times New Roman" w:eastAsia="Times New Roman" w:hAnsi="Times New Roman" w:cs="Times New Roman"/>
          <w:noProof/>
          <w:sz w:val="24"/>
          <w:szCs w:val="24"/>
        </w:rPr>
      </w:pPr>
      <w:bookmarkStart w:id="16" w:name="p-509567"/>
      <w:bookmarkEnd w:id="16"/>
    </w:p>
    <w:p w14:paraId="103420EE" w14:textId="1D2312A4" w:rsidR="000C312A" w:rsidRPr="009A7D3A" w:rsidRDefault="000C312A" w:rsidP="000C312A">
      <w:pPr>
        <w:spacing w:after="0" w:line="240" w:lineRule="auto"/>
        <w:jc w:val="both"/>
        <w:rPr>
          <w:rFonts w:ascii="Times New Roman" w:eastAsia="Times New Roman" w:hAnsi="Times New Roman" w:cs="Times New Roman"/>
          <w:noProof/>
          <w:sz w:val="24"/>
          <w:szCs w:val="24"/>
        </w:rPr>
      </w:pPr>
      <w:r w:rsidRPr="009A7D3A">
        <w:rPr>
          <w:rFonts w:ascii="Times New Roman" w:hAnsi="Times New Roman" w:cs="Times New Roman"/>
          <w:sz w:val="24"/>
          <w:szCs w:val="24"/>
        </w:rPr>
        <w:t>7. Where necessary for the provision of wholesale services, a merchant may additionally include</w:t>
      </w:r>
      <w:r w:rsidR="009A7D3A" w:rsidRPr="009A7D3A">
        <w:rPr>
          <w:rFonts w:ascii="Times New Roman" w:hAnsi="Times New Roman" w:cs="Times New Roman"/>
          <w:sz w:val="24"/>
          <w:szCs w:val="24"/>
        </w:rPr>
        <w:t xml:space="preserve"> </w:t>
      </w:r>
      <w:r w:rsidRPr="009A7D3A">
        <w:rPr>
          <w:rFonts w:ascii="Times New Roman" w:hAnsi="Times New Roman" w:cs="Times New Roman"/>
          <w:sz w:val="24"/>
          <w:szCs w:val="24"/>
        </w:rPr>
        <w:t>other information in the reference offer.</w:t>
      </w:r>
      <w:bookmarkStart w:id="17" w:name="p7"/>
      <w:bookmarkEnd w:id="17"/>
    </w:p>
    <w:p w14:paraId="635DBD19" w14:textId="77777777" w:rsidR="000C312A" w:rsidRPr="009A7D3A" w:rsidRDefault="000C312A" w:rsidP="000C312A">
      <w:pPr>
        <w:spacing w:after="0" w:line="240" w:lineRule="auto"/>
        <w:jc w:val="both"/>
        <w:rPr>
          <w:rFonts w:ascii="Times New Roman" w:eastAsia="Times New Roman" w:hAnsi="Times New Roman" w:cs="Times New Roman"/>
          <w:noProof/>
          <w:sz w:val="24"/>
          <w:szCs w:val="24"/>
        </w:rPr>
      </w:pPr>
      <w:bookmarkStart w:id="18" w:name="n3"/>
      <w:bookmarkStart w:id="19" w:name="n-509568"/>
      <w:bookmarkEnd w:id="18"/>
      <w:bookmarkEnd w:id="19"/>
    </w:p>
    <w:p w14:paraId="3AE009E3" w14:textId="051A7741" w:rsidR="000C312A" w:rsidRPr="009A7D3A" w:rsidRDefault="000C312A" w:rsidP="000C312A">
      <w:pPr>
        <w:spacing w:after="0" w:line="240" w:lineRule="auto"/>
        <w:jc w:val="center"/>
        <w:rPr>
          <w:rFonts w:ascii="Times New Roman" w:eastAsia="Times New Roman" w:hAnsi="Times New Roman" w:cs="Times New Roman"/>
          <w:b/>
          <w:bCs/>
          <w:noProof/>
          <w:sz w:val="24"/>
          <w:szCs w:val="24"/>
        </w:rPr>
      </w:pPr>
      <w:r w:rsidRPr="009A7D3A">
        <w:rPr>
          <w:rFonts w:ascii="Times New Roman" w:hAnsi="Times New Roman" w:cs="Times New Roman"/>
          <w:b/>
          <w:bCs/>
          <w:sz w:val="24"/>
          <w:szCs w:val="24"/>
        </w:rPr>
        <w:t>III. Requirements for the Publication of the Reference Offer</w:t>
      </w:r>
    </w:p>
    <w:p w14:paraId="23068B1D" w14:textId="77777777" w:rsidR="000C312A" w:rsidRPr="009A7D3A" w:rsidRDefault="000C312A" w:rsidP="000C312A">
      <w:pPr>
        <w:spacing w:after="0" w:line="240" w:lineRule="auto"/>
        <w:jc w:val="both"/>
        <w:rPr>
          <w:rFonts w:ascii="Times New Roman" w:eastAsia="Times New Roman" w:hAnsi="Times New Roman" w:cs="Times New Roman"/>
          <w:noProof/>
          <w:sz w:val="24"/>
          <w:szCs w:val="24"/>
        </w:rPr>
      </w:pPr>
      <w:bookmarkStart w:id="20" w:name="p-509569"/>
      <w:bookmarkEnd w:id="20"/>
    </w:p>
    <w:p w14:paraId="3FE82D3B" w14:textId="1E2C42AC" w:rsidR="000C312A" w:rsidRPr="009A7D3A" w:rsidRDefault="000C312A" w:rsidP="000C312A">
      <w:pPr>
        <w:spacing w:after="0" w:line="240" w:lineRule="auto"/>
        <w:jc w:val="both"/>
        <w:rPr>
          <w:rFonts w:ascii="Times New Roman" w:eastAsia="Times New Roman" w:hAnsi="Times New Roman" w:cs="Times New Roman"/>
          <w:noProof/>
          <w:sz w:val="24"/>
          <w:szCs w:val="24"/>
        </w:rPr>
      </w:pPr>
      <w:r w:rsidRPr="009A7D3A">
        <w:rPr>
          <w:rFonts w:ascii="Times New Roman" w:hAnsi="Times New Roman" w:cs="Times New Roman"/>
          <w:sz w:val="24"/>
          <w:szCs w:val="24"/>
        </w:rPr>
        <w:t>8. A merchant shall publish the reference offer within two months from the day when the relevant obligations enter into effect.</w:t>
      </w:r>
      <w:bookmarkStart w:id="21" w:name="p8"/>
      <w:bookmarkEnd w:id="21"/>
    </w:p>
    <w:p w14:paraId="070A073E" w14:textId="77777777" w:rsidR="000C312A" w:rsidRPr="009A7D3A" w:rsidRDefault="000C312A" w:rsidP="000C312A">
      <w:pPr>
        <w:spacing w:after="0" w:line="240" w:lineRule="auto"/>
        <w:jc w:val="both"/>
        <w:rPr>
          <w:rFonts w:ascii="Times New Roman" w:eastAsia="Times New Roman" w:hAnsi="Times New Roman" w:cs="Times New Roman"/>
          <w:noProof/>
          <w:sz w:val="24"/>
          <w:szCs w:val="24"/>
        </w:rPr>
      </w:pPr>
      <w:bookmarkStart w:id="22" w:name="p-509570"/>
      <w:bookmarkEnd w:id="22"/>
    </w:p>
    <w:p w14:paraId="491C17D6" w14:textId="4D13AE14" w:rsidR="000C312A" w:rsidRPr="009A7D3A" w:rsidRDefault="000C312A" w:rsidP="000C312A">
      <w:pPr>
        <w:spacing w:after="0" w:line="240" w:lineRule="auto"/>
        <w:jc w:val="both"/>
        <w:rPr>
          <w:rFonts w:ascii="Times New Roman" w:eastAsia="Times New Roman" w:hAnsi="Times New Roman" w:cs="Times New Roman"/>
          <w:noProof/>
          <w:sz w:val="24"/>
          <w:szCs w:val="24"/>
        </w:rPr>
      </w:pPr>
      <w:r w:rsidRPr="009A7D3A">
        <w:rPr>
          <w:rFonts w:ascii="Times New Roman" w:hAnsi="Times New Roman" w:cs="Times New Roman"/>
          <w:sz w:val="24"/>
          <w:szCs w:val="24"/>
        </w:rPr>
        <w:t>9. A merchant shall publish the reference offer on its website.</w:t>
      </w:r>
      <w:bookmarkStart w:id="23" w:name="p9"/>
      <w:bookmarkEnd w:id="23"/>
    </w:p>
    <w:p w14:paraId="5B24E98D" w14:textId="77777777" w:rsidR="000C312A" w:rsidRPr="009A7D3A" w:rsidRDefault="000C312A" w:rsidP="000C312A">
      <w:pPr>
        <w:spacing w:after="0" w:line="240" w:lineRule="auto"/>
        <w:jc w:val="both"/>
        <w:rPr>
          <w:rFonts w:ascii="Times New Roman" w:eastAsia="Times New Roman" w:hAnsi="Times New Roman" w:cs="Times New Roman"/>
          <w:noProof/>
          <w:sz w:val="24"/>
          <w:szCs w:val="24"/>
        </w:rPr>
      </w:pPr>
      <w:bookmarkStart w:id="24" w:name="p-509571"/>
      <w:bookmarkEnd w:id="24"/>
    </w:p>
    <w:p w14:paraId="55CB39B1" w14:textId="26C47E10" w:rsidR="000C312A" w:rsidRPr="009A7D3A" w:rsidRDefault="000C312A" w:rsidP="000C312A">
      <w:pPr>
        <w:spacing w:after="0" w:line="240" w:lineRule="auto"/>
        <w:jc w:val="both"/>
        <w:rPr>
          <w:rFonts w:ascii="Times New Roman" w:eastAsia="Times New Roman" w:hAnsi="Times New Roman" w:cs="Times New Roman"/>
          <w:noProof/>
          <w:sz w:val="24"/>
          <w:szCs w:val="24"/>
        </w:rPr>
      </w:pPr>
      <w:r w:rsidRPr="009A7D3A">
        <w:rPr>
          <w:rFonts w:ascii="Times New Roman" w:hAnsi="Times New Roman" w:cs="Times New Roman"/>
          <w:sz w:val="24"/>
          <w:szCs w:val="24"/>
        </w:rPr>
        <w:t xml:space="preserve">10. When publishing the reference offer or amendments thereto on its website, a merchant shall publish the type of the reference offer and internet address of the website where the reference offer is available in the official gazette </w:t>
      </w:r>
      <w:r w:rsidRPr="009A7D3A">
        <w:rPr>
          <w:rFonts w:ascii="Times New Roman" w:hAnsi="Times New Roman" w:cs="Times New Roman"/>
          <w:i/>
          <w:iCs/>
          <w:sz w:val="24"/>
          <w:szCs w:val="24"/>
        </w:rPr>
        <w:t>Latvijas Vēstnesis</w:t>
      </w:r>
      <w:r w:rsidRPr="009A7D3A">
        <w:rPr>
          <w:rFonts w:ascii="Times New Roman" w:hAnsi="Times New Roman" w:cs="Times New Roman"/>
          <w:sz w:val="24"/>
          <w:szCs w:val="24"/>
        </w:rPr>
        <w:t>.</w:t>
      </w:r>
      <w:bookmarkStart w:id="25" w:name="p10"/>
      <w:bookmarkEnd w:id="25"/>
    </w:p>
    <w:p w14:paraId="2C862AFF" w14:textId="77777777" w:rsidR="000C312A" w:rsidRPr="009A7D3A" w:rsidRDefault="000C312A" w:rsidP="000C312A">
      <w:pPr>
        <w:spacing w:after="0" w:line="240" w:lineRule="auto"/>
        <w:jc w:val="both"/>
        <w:rPr>
          <w:rFonts w:ascii="Times New Roman" w:eastAsia="Times New Roman" w:hAnsi="Times New Roman" w:cs="Times New Roman"/>
          <w:noProof/>
          <w:sz w:val="24"/>
          <w:szCs w:val="24"/>
        </w:rPr>
      </w:pPr>
      <w:bookmarkStart w:id="26" w:name="p-509572"/>
      <w:bookmarkEnd w:id="26"/>
    </w:p>
    <w:p w14:paraId="70712A0B" w14:textId="3220B9D7" w:rsidR="000C312A" w:rsidRPr="009A7D3A" w:rsidRDefault="000C312A" w:rsidP="000C312A">
      <w:pPr>
        <w:spacing w:after="0" w:line="240" w:lineRule="auto"/>
        <w:jc w:val="both"/>
        <w:rPr>
          <w:rFonts w:ascii="Times New Roman" w:eastAsia="Times New Roman" w:hAnsi="Times New Roman" w:cs="Times New Roman"/>
          <w:noProof/>
          <w:sz w:val="24"/>
          <w:szCs w:val="24"/>
        </w:rPr>
      </w:pPr>
      <w:r w:rsidRPr="009A7D3A">
        <w:rPr>
          <w:rFonts w:ascii="Times New Roman" w:hAnsi="Times New Roman" w:cs="Times New Roman"/>
          <w:sz w:val="24"/>
          <w:szCs w:val="24"/>
        </w:rPr>
        <w:t>11. If the Regulator has found that the published reference offer fails to comply with the requirements laid down by the Regulator, a merchant shall make amendments within the time period specified by the Regulator and publish the reference offer as amended on its website.</w:t>
      </w:r>
      <w:bookmarkStart w:id="27" w:name="p11"/>
      <w:bookmarkEnd w:id="27"/>
    </w:p>
    <w:p w14:paraId="6998A1A9" w14:textId="77777777" w:rsidR="000C312A" w:rsidRPr="009A7D3A" w:rsidRDefault="000C312A" w:rsidP="000C312A">
      <w:pPr>
        <w:spacing w:after="0" w:line="240" w:lineRule="auto"/>
        <w:jc w:val="both"/>
        <w:rPr>
          <w:rFonts w:ascii="Times New Roman" w:eastAsia="Times New Roman" w:hAnsi="Times New Roman" w:cs="Times New Roman"/>
          <w:noProof/>
          <w:sz w:val="24"/>
          <w:szCs w:val="24"/>
        </w:rPr>
      </w:pPr>
      <w:bookmarkStart w:id="28" w:name="p-509573"/>
      <w:bookmarkEnd w:id="28"/>
    </w:p>
    <w:p w14:paraId="4066D3AB" w14:textId="322C53D3" w:rsidR="000C312A" w:rsidRPr="009A7D3A" w:rsidRDefault="000C312A" w:rsidP="000C312A">
      <w:pPr>
        <w:spacing w:after="0" w:line="240" w:lineRule="auto"/>
        <w:jc w:val="both"/>
        <w:rPr>
          <w:rFonts w:ascii="Times New Roman" w:eastAsia="Times New Roman" w:hAnsi="Times New Roman" w:cs="Times New Roman"/>
          <w:noProof/>
          <w:sz w:val="24"/>
          <w:szCs w:val="24"/>
        </w:rPr>
      </w:pPr>
      <w:r w:rsidRPr="009A7D3A">
        <w:rPr>
          <w:rFonts w:ascii="Times New Roman" w:hAnsi="Times New Roman" w:cs="Times New Roman"/>
          <w:sz w:val="24"/>
          <w:szCs w:val="24"/>
        </w:rPr>
        <w:t>12. A merchant shall ensure that the reference offer published on its website is without any printout restrictions.</w:t>
      </w:r>
      <w:bookmarkStart w:id="29" w:name="p12"/>
      <w:bookmarkEnd w:id="29"/>
    </w:p>
    <w:p w14:paraId="5F65CBA2" w14:textId="77777777" w:rsidR="000C312A" w:rsidRPr="009A7D3A" w:rsidRDefault="000C312A" w:rsidP="000C312A">
      <w:pPr>
        <w:spacing w:after="0" w:line="240" w:lineRule="auto"/>
        <w:jc w:val="both"/>
        <w:rPr>
          <w:rFonts w:ascii="Times New Roman" w:eastAsia="Times New Roman" w:hAnsi="Times New Roman" w:cs="Times New Roman"/>
          <w:noProof/>
          <w:sz w:val="24"/>
          <w:szCs w:val="24"/>
        </w:rPr>
      </w:pPr>
      <w:bookmarkStart w:id="30" w:name="n4"/>
      <w:bookmarkStart w:id="31" w:name="n-509574"/>
      <w:bookmarkEnd w:id="30"/>
      <w:bookmarkEnd w:id="31"/>
    </w:p>
    <w:p w14:paraId="43D321B6" w14:textId="1F7ED2B2" w:rsidR="000C312A" w:rsidRPr="009A7D3A" w:rsidRDefault="000C312A" w:rsidP="000C312A">
      <w:pPr>
        <w:spacing w:after="0" w:line="240" w:lineRule="auto"/>
        <w:jc w:val="center"/>
        <w:rPr>
          <w:rFonts w:ascii="Times New Roman" w:eastAsia="Times New Roman" w:hAnsi="Times New Roman" w:cs="Times New Roman"/>
          <w:b/>
          <w:bCs/>
          <w:noProof/>
          <w:sz w:val="24"/>
          <w:szCs w:val="24"/>
        </w:rPr>
      </w:pPr>
      <w:r w:rsidRPr="009A7D3A">
        <w:rPr>
          <w:rFonts w:ascii="Times New Roman" w:hAnsi="Times New Roman" w:cs="Times New Roman"/>
          <w:b/>
          <w:bCs/>
          <w:sz w:val="24"/>
          <w:szCs w:val="24"/>
        </w:rPr>
        <w:t>IV. Closing Provisions</w:t>
      </w:r>
    </w:p>
    <w:p w14:paraId="7D129C43" w14:textId="77777777" w:rsidR="000C312A" w:rsidRPr="009A7D3A" w:rsidRDefault="000C312A" w:rsidP="000C312A">
      <w:pPr>
        <w:spacing w:after="0" w:line="240" w:lineRule="auto"/>
        <w:jc w:val="both"/>
        <w:rPr>
          <w:rFonts w:ascii="Times New Roman" w:eastAsia="Times New Roman" w:hAnsi="Times New Roman" w:cs="Times New Roman"/>
          <w:noProof/>
          <w:sz w:val="24"/>
          <w:szCs w:val="24"/>
        </w:rPr>
      </w:pPr>
      <w:bookmarkStart w:id="32" w:name="p-509575"/>
      <w:bookmarkEnd w:id="32"/>
    </w:p>
    <w:p w14:paraId="15C10DC0" w14:textId="5F41DEF1" w:rsidR="000C312A" w:rsidRPr="009A7D3A" w:rsidRDefault="000C312A" w:rsidP="000C312A">
      <w:pPr>
        <w:spacing w:after="0" w:line="240" w:lineRule="auto"/>
        <w:jc w:val="both"/>
        <w:rPr>
          <w:rFonts w:ascii="Times New Roman" w:eastAsia="Times New Roman" w:hAnsi="Times New Roman" w:cs="Times New Roman"/>
          <w:noProof/>
          <w:sz w:val="24"/>
          <w:szCs w:val="24"/>
        </w:rPr>
      </w:pPr>
      <w:r w:rsidRPr="009A7D3A">
        <w:rPr>
          <w:rFonts w:ascii="Times New Roman" w:hAnsi="Times New Roman" w:cs="Times New Roman"/>
          <w:sz w:val="24"/>
          <w:szCs w:val="24"/>
        </w:rPr>
        <w:t>13. Decision No. 1/16 of the Public Utilities Commission of 20 July 2011, Regulations Regarding the Information to be Included in the Reference Offer and Publication Thereof (</w:t>
      </w:r>
      <w:r w:rsidRPr="009A7D3A">
        <w:rPr>
          <w:rFonts w:ascii="Times New Roman" w:hAnsi="Times New Roman" w:cs="Times New Roman"/>
          <w:i/>
          <w:iCs/>
          <w:sz w:val="24"/>
          <w:szCs w:val="24"/>
        </w:rPr>
        <w:t>Latvijas Vēstnesis</w:t>
      </w:r>
      <w:r w:rsidRPr="009A7D3A">
        <w:rPr>
          <w:rFonts w:ascii="Times New Roman" w:hAnsi="Times New Roman" w:cs="Times New Roman"/>
          <w:sz w:val="24"/>
          <w:szCs w:val="24"/>
        </w:rPr>
        <w:t>, 2011, No. 116), is repealed.</w:t>
      </w:r>
      <w:bookmarkStart w:id="33" w:name="p13"/>
      <w:bookmarkEnd w:id="33"/>
    </w:p>
    <w:p w14:paraId="3320C01B" w14:textId="77777777" w:rsidR="000C312A" w:rsidRPr="009A7D3A" w:rsidRDefault="000C312A" w:rsidP="000C312A">
      <w:pPr>
        <w:spacing w:after="0" w:line="240" w:lineRule="auto"/>
        <w:jc w:val="both"/>
        <w:rPr>
          <w:rFonts w:ascii="Times New Roman" w:eastAsia="Times New Roman" w:hAnsi="Times New Roman" w:cs="Times New Roman"/>
          <w:noProof/>
          <w:sz w:val="24"/>
          <w:szCs w:val="24"/>
        </w:rPr>
      </w:pPr>
      <w:bookmarkStart w:id="34" w:name="p-509576"/>
      <w:bookmarkEnd w:id="34"/>
    </w:p>
    <w:p w14:paraId="2A392EEE" w14:textId="4E01B8F0" w:rsidR="000C312A" w:rsidRPr="009A7D3A" w:rsidRDefault="000C312A" w:rsidP="000C312A">
      <w:pPr>
        <w:spacing w:after="0" w:line="240" w:lineRule="auto"/>
        <w:jc w:val="both"/>
        <w:rPr>
          <w:rFonts w:ascii="Times New Roman" w:eastAsia="Times New Roman" w:hAnsi="Times New Roman" w:cs="Times New Roman"/>
          <w:noProof/>
          <w:sz w:val="24"/>
          <w:szCs w:val="24"/>
        </w:rPr>
      </w:pPr>
      <w:r w:rsidRPr="009A7D3A">
        <w:rPr>
          <w:rFonts w:ascii="Times New Roman" w:hAnsi="Times New Roman" w:cs="Times New Roman"/>
          <w:sz w:val="24"/>
          <w:szCs w:val="24"/>
        </w:rPr>
        <w:t xml:space="preserve">14. These Regulations shall come into force on the day following their publication in the official gazette </w:t>
      </w:r>
      <w:r w:rsidRPr="009A7D3A">
        <w:rPr>
          <w:rFonts w:ascii="Times New Roman" w:hAnsi="Times New Roman" w:cs="Times New Roman"/>
          <w:i/>
          <w:iCs/>
          <w:sz w:val="24"/>
          <w:szCs w:val="24"/>
        </w:rPr>
        <w:t>Latvijas Vēstnesis</w:t>
      </w:r>
      <w:r w:rsidRPr="009A7D3A">
        <w:rPr>
          <w:rFonts w:ascii="Times New Roman" w:hAnsi="Times New Roman" w:cs="Times New Roman"/>
          <w:sz w:val="24"/>
          <w:szCs w:val="24"/>
        </w:rPr>
        <w:t>.</w:t>
      </w:r>
      <w:bookmarkStart w:id="35" w:name="p14"/>
      <w:bookmarkEnd w:id="35"/>
    </w:p>
    <w:p w14:paraId="0333D4B3" w14:textId="77777777" w:rsidR="000C312A" w:rsidRPr="009A7D3A" w:rsidRDefault="000C312A" w:rsidP="000C312A">
      <w:pPr>
        <w:spacing w:after="0" w:line="240" w:lineRule="auto"/>
        <w:jc w:val="both"/>
        <w:rPr>
          <w:rFonts w:ascii="Times New Roman" w:eastAsia="Times New Roman" w:hAnsi="Times New Roman" w:cs="Times New Roman"/>
          <w:noProof/>
          <w:sz w:val="24"/>
          <w:szCs w:val="24"/>
          <w:lang w:val="en-US" w:eastAsia="lv-LV"/>
        </w:rPr>
      </w:pPr>
    </w:p>
    <w:p w14:paraId="47E33C11" w14:textId="77777777" w:rsidR="000C312A" w:rsidRPr="009A7D3A" w:rsidRDefault="000C312A" w:rsidP="000C312A">
      <w:pPr>
        <w:spacing w:after="0" w:line="240" w:lineRule="auto"/>
        <w:jc w:val="both"/>
        <w:rPr>
          <w:rFonts w:ascii="Times New Roman" w:eastAsia="Times New Roman" w:hAnsi="Times New Roman" w:cs="Times New Roman"/>
          <w:noProof/>
          <w:sz w:val="24"/>
          <w:szCs w:val="24"/>
          <w:lang w:val="en-US" w:eastAsia="lv-LV"/>
        </w:rPr>
      </w:pPr>
    </w:p>
    <w:p w14:paraId="6ECA326E" w14:textId="3530E06C" w:rsidR="000C312A" w:rsidRPr="009A7D3A" w:rsidRDefault="000C312A" w:rsidP="000C312A">
      <w:pPr>
        <w:spacing w:after="0" w:line="240" w:lineRule="auto"/>
        <w:jc w:val="both"/>
        <w:rPr>
          <w:rFonts w:ascii="Times New Roman" w:eastAsia="Times New Roman" w:hAnsi="Times New Roman" w:cs="Times New Roman"/>
          <w:noProof/>
          <w:sz w:val="24"/>
          <w:szCs w:val="24"/>
        </w:rPr>
      </w:pPr>
      <w:r w:rsidRPr="009A7D3A">
        <w:rPr>
          <w:rFonts w:ascii="Times New Roman" w:hAnsi="Times New Roman" w:cs="Times New Roman"/>
          <w:sz w:val="24"/>
          <w:szCs w:val="24"/>
        </w:rPr>
        <w:t>Chairperson of the Board of the Public Utilities Commission</w:t>
      </w:r>
      <w:r w:rsidR="009A7D3A" w:rsidRPr="009A7D3A">
        <w:rPr>
          <w:rFonts w:ascii="Times New Roman" w:hAnsi="Times New Roman" w:cs="Times New Roman"/>
          <w:sz w:val="24"/>
          <w:szCs w:val="24"/>
        </w:rPr>
        <w:tab/>
      </w:r>
      <w:r w:rsidR="009A7D3A" w:rsidRPr="009A7D3A">
        <w:rPr>
          <w:rFonts w:ascii="Times New Roman" w:hAnsi="Times New Roman" w:cs="Times New Roman"/>
          <w:sz w:val="24"/>
          <w:szCs w:val="24"/>
        </w:rPr>
        <w:tab/>
      </w:r>
      <w:r w:rsidRPr="009A7D3A">
        <w:rPr>
          <w:rFonts w:ascii="Times New Roman" w:hAnsi="Times New Roman" w:cs="Times New Roman"/>
          <w:sz w:val="24"/>
          <w:szCs w:val="24"/>
        </w:rPr>
        <w:t>V. Lokenbahs</w:t>
      </w:r>
    </w:p>
    <w:p w14:paraId="3065E1CD" w14:textId="77777777" w:rsidR="000C312A" w:rsidRPr="009A7D3A" w:rsidRDefault="000C312A" w:rsidP="000C312A">
      <w:pPr>
        <w:spacing w:after="0" w:line="240" w:lineRule="auto"/>
        <w:jc w:val="both"/>
        <w:rPr>
          <w:rFonts w:ascii="Times New Roman" w:eastAsia="Times New Roman" w:hAnsi="Times New Roman" w:cs="Times New Roman"/>
          <w:noProof/>
          <w:sz w:val="24"/>
          <w:szCs w:val="24"/>
          <w:lang w:val="en-US" w:eastAsia="lv-LV"/>
        </w:rPr>
      </w:pPr>
    </w:p>
    <w:p w14:paraId="5DFD9B39" w14:textId="77777777" w:rsidR="000C312A" w:rsidRPr="009A7D3A" w:rsidRDefault="000C312A" w:rsidP="000C312A">
      <w:pPr>
        <w:spacing w:after="0" w:line="240" w:lineRule="auto"/>
        <w:jc w:val="both"/>
        <w:rPr>
          <w:rFonts w:ascii="Times New Roman" w:hAnsi="Times New Roman" w:cs="Times New Roman"/>
          <w:noProof/>
          <w:sz w:val="24"/>
          <w:lang w:val="en-US"/>
        </w:rPr>
      </w:pPr>
      <w:bookmarkStart w:id="36" w:name="_GoBack"/>
      <w:bookmarkEnd w:id="36"/>
    </w:p>
    <w:sectPr w:rsidR="000C312A" w:rsidRPr="009A7D3A" w:rsidSect="000C312A">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7EBE20" w14:textId="77777777" w:rsidR="000C312A" w:rsidRPr="000C312A" w:rsidRDefault="000C312A" w:rsidP="000C312A">
      <w:pPr>
        <w:spacing w:after="0" w:line="240" w:lineRule="auto"/>
        <w:rPr>
          <w:noProof/>
          <w:lang w:val="en-US"/>
        </w:rPr>
      </w:pPr>
      <w:r w:rsidRPr="000C312A">
        <w:rPr>
          <w:noProof/>
          <w:lang w:val="en-US"/>
        </w:rPr>
        <w:separator/>
      </w:r>
    </w:p>
  </w:endnote>
  <w:endnote w:type="continuationSeparator" w:id="0">
    <w:p w14:paraId="77BBF302" w14:textId="77777777" w:rsidR="000C312A" w:rsidRPr="000C312A" w:rsidRDefault="000C312A" w:rsidP="000C312A">
      <w:pPr>
        <w:spacing w:after="0" w:line="240" w:lineRule="auto"/>
        <w:rPr>
          <w:noProof/>
          <w:lang w:val="en-US"/>
        </w:rPr>
      </w:pPr>
      <w:r w:rsidRPr="000C312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2E791" w14:textId="77777777" w:rsidR="009A7D3A" w:rsidRPr="009A7D3A" w:rsidRDefault="009A7D3A" w:rsidP="009A7D3A">
    <w:pPr>
      <w:pStyle w:val="Kjene"/>
      <w:tabs>
        <w:tab w:val="clear" w:pos="4153"/>
        <w:tab w:val="clear" w:pos="8306"/>
        <w:tab w:val="right" w:pos="9072"/>
      </w:tabs>
      <w:rPr>
        <w:rFonts w:ascii="Times New Roman" w:hAnsi="Times New Roman" w:cs="Times New Roman"/>
        <w:sz w:val="20"/>
        <w:szCs w:val="20"/>
      </w:rPr>
    </w:pPr>
  </w:p>
  <w:p w14:paraId="1ACA6A03" w14:textId="77777777" w:rsidR="009A7D3A" w:rsidRPr="009A7D3A" w:rsidRDefault="009A7D3A" w:rsidP="009A7D3A">
    <w:pPr>
      <w:pStyle w:val="Kjene"/>
      <w:tabs>
        <w:tab w:val="clear" w:pos="4153"/>
        <w:tab w:val="clear" w:pos="8306"/>
        <w:tab w:val="right" w:pos="9072"/>
      </w:tabs>
      <w:rPr>
        <w:rFonts w:ascii="Times New Roman" w:hAnsi="Times New Roman" w:cs="Times New Roman"/>
        <w:sz w:val="20"/>
        <w:szCs w:val="20"/>
      </w:rPr>
    </w:pPr>
    <w:r w:rsidRPr="009A7D3A">
      <w:rPr>
        <w:rFonts w:ascii="Times New Roman" w:hAnsi="Times New Roman" w:cs="Times New Roman"/>
        <w:sz w:val="20"/>
        <w:szCs w:val="20"/>
      </w:rPr>
      <w:t xml:space="preserve">Translation </w:t>
    </w:r>
    <w:r w:rsidRPr="009A7D3A">
      <w:rPr>
        <w:rFonts w:ascii="Times New Roman" w:hAnsi="Times New Roman" w:cs="Times New Roman"/>
        <w:sz w:val="20"/>
        <w:szCs w:val="20"/>
      </w:rPr>
      <w:fldChar w:fldCharType="begin"/>
    </w:r>
    <w:r w:rsidRPr="009A7D3A">
      <w:rPr>
        <w:rFonts w:ascii="Times New Roman" w:hAnsi="Times New Roman" w:cs="Times New Roman"/>
        <w:sz w:val="20"/>
        <w:szCs w:val="20"/>
      </w:rPr>
      <w:instrText>symbol 169 \f "UnivrstyRoman TL" \s 8</w:instrText>
    </w:r>
    <w:r w:rsidRPr="009A7D3A">
      <w:rPr>
        <w:rFonts w:ascii="Times New Roman" w:hAnsi="Times New Roman" w:cs="Times New Roman"/>
        <w:sz w:val="20"/>
        <w:szCs w:val="20"/>
      </w:rPr>
      <w:fldChar w:fldCharType="separate"/>
    </w:r>
    <w:r w:rsidRPr="009A7D3A">
      <w:rPr>
        <w:rFonts w:ascii="Times New Roman" w:hAnsi="Times New Roman" w:cs="Times New Roman"/>
        <w:sz w:val="20"/>
        <w:szCs w:val="20"/>
      </w:rPr>
      <w:t>©</w:t>
    </w:r>
    <w:r w:rsidRPr="009A7D3A">
      <w:rPr>
        <w:rFonts w:ascii="Times New Roman" w:hAnsi="Times New Roman" w:cs="Times New Roman"/>
        <w:sz w:val="20"/>
        <w:szCs w:val="20"/>
      </w:rPr>
      <w:fldChar w:fldCharType="end"/>
    </w:r>
    <w:r w:rsidRPr="009A7D3A">
      <w:rPr>
        <w:rFonts w:ascii="Times New Roman" w:hAnsi="Times New Roman" w:cs="Times New Roman"/>
        <w:sz w:val="20"/>
        <w:szCs w:val="20"/>
      </w:rPr>
      <w:t xml:space="preserve"> 2020 Valsts valodas centrs (State Language Centre)</w:t>
    </w:r>
    <w:r w:rsidRPr="009A7D3A">
      <w:rPr>
        <w:rFonts w:ascii="Times New Roman" w:hAnsi="Times New Roman" w:cs="Times New Roman"/>
        <w:sz w:val="20"/>
        <w:szCs w:val="20"/>
      </w:rPr>
      <w:tab/>
    </w:r>
    <w:r w:rsidRPr="009A7D3A">
      <w:rPr>
        <w:rStyle w:val="Lappusesnumurs"/>
        <w:rFonts w:ascii="Times New Roman" w:hAnsi="Times New Roman" w:cs="Times New Roman"/>
        <w:sz w:val="20"/>
        <w:szCs w:val="20"/>
      </w:rPr>
      <w:fldChar w:fldCharType="begin"/>
    </w:r>
    <w:r w:rsidRPr="009A7D3A">
      <w:rPr>
        <w:rStyle w:val="Lappusesnumurs"/>
        <w:rFonts w:ascii="Times New Roman" w:hAnsi="Times New Roman" w:cs="Times New Roman"/>
        <w:sz w:val="20"/>
        <w:szCs w:val="20"/>
      </w:rPr>
      <w:instrText xml:space="preserve"> PAGE </w:instrText>
    </w:r>
    <w:r w:rsidRPr="009A7D3A">
      <w:rPr>
        <w:rStyle w:val="Lappusesnumurs"/>
        <w:rFonts w:ascii="Times New Roman" w:hAnsi="Times New Roman" w:cs="Times New Roman"/>
        <w:sz w:val="20"/>
        <w:szCs w:val="20"/>
      </w:rPr>
      <w:fldChar w:fldCharType="separate"/>
    </w:r>
    <w:r w:rsidRPr="009A7D3A">
      <w:rPr>
        <w:rStyle w:val="Lappusesnumurs"/>
        <w:rFonts w:ascii="Times New Roman" w:hAnsi="Times New Roman" w:cs="Times New Roman"/>
        <w:sz w:val="20"/>
        <w:szCs w:val="20"/>
      </w:rPr>
      <w:t>2</w:t>
    </w:r>
    <w:r w:rsidRPr="009A7D3A">
      <w:rPr>
        <w:rStyle w:val="Lappusesnumurs"/>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BBE4C" w14:textId="77777777" w:rsidR="009A7D3A" w:rsidRPr="009A7D3A" w:rsidRDefault="009A7D3A" w:rsidP="009A7D3A">
    <w:pPr>
      <w:pStyle w:val="Kjene"/>
      <w:rPr>
        <w:rFonts w:ascii="Times New Roman" w:hAnsi="Times New Roman" w:cs="Times New Roman"/>
        <w:sz w:val="20"/>
        <w:szCs w:val="20"/>
      </w:rPr>
    </w:pPr>
  </w:p>
  <w:p w14:paraId="7F8020E7" w14:textId="77777777" w:rsidR="009A7D3A" w:rsidRPr="009A7D3A" w:rsidRDefault="009A7D3A" w:rsidP="009A7D3A">
    <w:pPr>
      <w:pStyle w:val="Kjene"/>
      <w:rPr>
        <w:rFonts w:ascii="Times New Roman" w:hAnsi="Times New Roman" w:cs="Times New Roman"/>
        <w:sz w:val="20"/>
        <w:szCs w:val="20"/>
      </w:rPr>
    </w:pPr>
    <w:r w:rsidRPr="009A7D3A">
      <w:rPr>
        <w:rFonts w:ascii="Times New Roman" w:hAnsi="Times New Roman" w:cs="Times New Roman"/>
        <w:sz w:val="20"/>
        <w:szCs w:val="20"/>
      </w:rPr>
      <w:t xml:space="preserve">Translation </w:t>
    </w:r>
    <w:r w:rsidRPr="009A7D3A">
      <w:rPr>
        <w:rFonts w:ascii="Times New Roman" w:hAnsi="Times New Roman" w:cs="Times New Roman"/>
        <w:sz w:val="20"/>
        <w:szCs w:val="20"/>
      </w:rPr>
      <w:fldChar w:fldCharType="begin"/>
    </w:r>
    <w:r w:rsidRPr="009A7D3A">
      <w:rPr>
        <w:rFonts w:ascii="Times New Roman" w:hAnsi="Times New Roman" w:cs="Times New Roman"/>
        <w:sz w:val="20"/>
        <w:szCs w:val="20"/>
      </w:rPr>
      <w:instrText>symbol 169 \f "UnivrstyRoman TL" \s 8</w:instrText>
    </w:r>
    <w:r w:rsidRPr="009A7D3A">
      <w:rPr>
        <w:rFonts w:ascii="Times New Roman" w:hAnsi="Times New Roman" w:cs="Times New Roman"/>
        <w:sz w:val="20"/>
        <w:szCs w:val="20"/>
      </w:rPr>
      <w:fldChar w:fldCharType="separate"/>
    </w:r>
    <w:r w:rsidRPr="009A7D3A">
      <w:rPr>
        <w:rFonts w:ascii="Times New Roman" w:hAnsi="Times New Roman" w:cs="Times New Roman"/>
        <w:sz w:val="20"/>
        <w:szCs w:val="20"/>
      </w:rPr>
      <w:t>©</w:t>
    </w:r>
    <w:r w:rsidRPr="009A7D3A">
      <w:rPr>
        <w:rFonts w:ascii="Times New Roman" w:hAnsi="Times New Roman" w:cs="Times New Roman"/>
        <w:sz w:val="20"/>
        <w:szCs w:val="20"/>
      </w:rPr>
      <w:fldChar w:fldCharType="end"/>
    </w:r>
    <w:r w:rsidRPr="009A7D3A">
      <w:rPr>
        <w:rFonts w:ascii="Times New Roman" w:hAnsi="Times New Roman" w:cs="Times New Roman"/>
        <w:sz w:val="20"/>
        <w:szCs w:val="20"/>
      </w:rPr>
      <w:t xml:space="preserve"> 2020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9C3795" w14:textId="77777777" w:rsidR="000C312A" w:rsidRPr="000C312A" w:rsidRDefault="000C312A" w:rsidP="000C312A">
      <w:pPr>
        <w:spacing w:after="0" w:line="240" w:lineRule="auto"/>
        <w:rPr>
          <w:noProof/>
          <w:lang w:val="en-US"/>
        </w:rPr>
      </w:pPr>
      <w:r w:rsidRPr="000C312A">
        <w:rPr>
          <w:noProof/>
          <w:lang w:val="en-US"/>
        </w:rPr>
        <w:separator/>
      </w:r>
    </w:p>
  </w:footnote>
  <w:footnote w:type="continuationSeparator" w:id="0">
    <w:p w14:paraId="392612EA" w14:textId="77777777" w:rsidR="000C312A" w:rsidRPr="000C312A" w:rsidRDefault="000C312A" w:rsidP="000C312A">
      <w:pPr>
        <w:spacing w:after="0" w:line="240" w:lineRule="auto"/>
        <w:rPr>
          <w:noProof/>
          <w:lang w:val="en-US"/>
        </w:rPr>
      </w:pPr>
      <w:r w:rsidRPr="000C312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0ED"/>
    <w:rsid w:val="000C312A"/>
    <w:rsid w:val="002326EA"/>
    <w:rsid w:val="004B4797"/>
    <w:rsid w:val="00530540"/>
    <w:rsid w:val="006130ED"/>
    <w:rsid w:val="009A7D3A"/>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070F2"/>
  <w15:chartTrackingRefBased/>
  <w15:docId w15:val="{C5648162-72BF-4A7C-82B3-57D79DC69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0C312A"/>
    <w:rPr>
      <w:color w:val="0000FF"/>
      <w:u w:val="single"/>
    </w:rPr>
  </w:style>
  <w:style w:type="paragraph" w:customStyle="1" w:styleId="labojumupamats">
    <w:name w:val="labojumu_pamats"/>
    <w:basedOn w:val="Parasts"/>
    <w:rsid w:val="000C312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0C312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0C312A"/>
  </w:style>
  <w:style w:type="paragraph" w:styleId="Galvene">
    <w:name w:val="header"/>
    <w:basedOn w:val="Parasts"/>
    <w:link w:val="GalveneRakstz"/>
    <w:uiPriority w:val="99"/>
    <w:unhideWhenUsed/>
    <w:rsid w:val="000C312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C312A"/>
  </w:style>
  <w:style w:type="paragraph" w:styleId="Kjene">
    <w:name w:val="footer"/>
    <w:basedOn w:val="Parasts"/>
    <w:link w:val="KjeneRakstz"/>
    <w:unhideWhenUsed/>
    <w:rsid w:val="000C312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C312A"/>
  </w:style>
  <w:style w:type="paragraph" w:styleId="Paraststmeklis">
    <w:name w:val="Normal (Web)"/>
    <w:basedOn w:val="Parasts"/>
    <w:rsid w:val="009A7D3A"/>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Tekstabloks">
    <w:name w:val="Block Text"/>
    <w:basedOn w:val="Parasts"/>
    <w:rsid w:val="009A7D3A"/>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basedOn w:val="Noklusjumarindkopasfonts"/>
    <w:rsid w:val="009A7D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4676988">
      <w:bodyDiv w:val="1"/>
      <w:marLeft w:val="0"/>
      <w:marRight w:val="0"/>
      <w:marTop w:val="0"/>
      <w:marBottom w:val="0"/>
      <w:divBdr>
        <w:top w:val="none" w:sz="0" w:space="0" w:color="auto"/>
        <w:left w:val="none" w:sz="0" w:space="0" w:color="auto"/>
        <w:bottom w:val="none" w:sz="0" w:space="0" w:color="auto"/>
        <w:right w:val="none" w:sz="0" w:space="0" w:color="auto"/>
      </w:divBdr>
      <w:divsChild>
        <w:div w:id="1148747269">
          <w:marLeft w:val="0"/>
          <w:marRight w:val="0"/>
          <w:marTop w:val="0"/>
          <w:marBottom w:val="0"/>
          <w:divBdr>
            <w:top w:val="none" w:sz="0" w:space="0" w:color="auto"/>
            <w:left w:val="none" w:sz="0" w:space="0" w:color="auto"/>
            <w:bottom w:val="none" w:sz="0" w:space="0" w:color="auto"/>
            <w:right w:val="none" w:sz="0" w:space="0" w:color="auto"/>
          </w:divBdr>
          <w:divsChild>
            <w:div w:id="2004235938">
              <w:marLeft w:val="0"/>
              <w:marRight w:val="0"/>
              <w:marTop w:val="0"/>
              <w:marBottom w:val="0"/>
              <w:divBdr>
                <w:top w:val="none" w:sz="0" w:space="0" w:color="auto"/>
                <w:left w:val="none" w:sz="0" w:space="0" w:color="auto"/>
                <w:bottom w:val="none" w:sz="0" w:space="0" w:color="auto"/>
                <w:right w:val="none" w:sz="0" w:space="0" w:color="auto"/>
              </w:divBdr>
            </w:div>
            <w:div w:id="1810439938">
              <w:marLeft w:val="0"/>
              <w:marRight w:val="0"/>
              <w:marTop w:val="0"/>
              <w:marBottom w:val="0"/>
              <w:divBdr>
                <w:top w:val="none" w:sz="0" w:space="0" w:color="auto"/>
                <w:left w:val="none" w:sz="0" w:space="0" w:color="auto"/>
                <w:bottom w:val="none" w:sz="0" w:space="0" w:color="auto"/>
                <w:right w:val="none" w:sz="0" w:space="0" w:color="auto"/>
              </w:divBdr>
            </w:div>
            <w:div w:id="642587284">
              <w:marLeft w:val="0"/>
              <w:marRight w:val="0"/>
              <w:marTop w:val="0"/>
              <w:marBottom w:val="0"/>
              <w:divBdr>
                <w:top w:val="none" w:sz="0" w:space="0" w:color="auto"/>
                <w:left w:val="none" w:sz="0" w:space="0" w:color="auto"/>
                <w:bottom w:val="none" w:sz="0" w:space="0" w:color="auto"/>
                <w:right w:val="none" w:sz="0" w:space="0" w:color="auto"/>
              </w:divBdr>
            </w:div>
            <w:div w:id="873425204">
              <w:marLeft w:val="0"/>
              <w:marRight w:val="0"/>
              <w:marTop w:val="0"/>
              <w:marBottom w:val="0"/>
              <w:divBdr>
                <w:top w:val="none" w:sz="0" w:space="0" w:color="auto"/>
                <w:left w:val="none" w:sz="0" w:space="0" w:color="auto"/>
                <w:bottom w:val="none" w:sz="0" w:space="0" w:color="auto"/>
                <w:right w:val="none" w:sz="0" w:space="0" w:color="auto"/>
              </w:divBdr>
            </w:div>
            <w:div w:id="449667104">
              <w:marLeft w:val="0"/>
              <w:marRight w:val="0"/>
              <w:marTop w:val="0"/>
              <w:marBottom w:val="0"/>
              <w:divBdr>
                <w:top w:val="none" w:sz="0" w:space="0" w:color="auto"/>
                <w:left w:val="none" w:sz="0" w:space="0" w:color="auto"/>
                <w:bottom w:val="none" w:sz="0" w:space="0" w:color="auto"/>
                <w:right w:val="none" w:sz="0" w:space="0" w:color="auto"/>
              </w:divBdr>
            </w:div>
            <w:div w:id="1427072067">
              <w:marLeft w:val="0"/>
              <w:marRight w:val="0"/>
              <w:marTop w:val="0"/>
              <w:marBottom w:val="0"/>
              <w:divBdr>
                <w:top w:val="none" w:sz="0" w:space="0" w:color="auto"/>
                <w:left w:val="none" w:sz="0" w:space="0" w:color="auto"/>
                <w:bottom w:val="none" w:sz="0" w:space="0" w:color="auto"/>
                <w:right w:val="none" w:sz="0" w:space="0" w:color="auto"/>
              </w:divBdr>
            </w:div>
            <w:div w:id="1981307313">
              <w:marLeft w:val="0"/>
              <w:marRight w:val="0"/>
              <w:marTop w:val="0"/>
              <w:marBottom w:val="0"/>
              <w:divBdr>
                <w:top w:val="none" w:sz="0" w:space="0" w:color="auto"/>
                <w:left w:val="none" w:sz="0" w:space="0" w:color="auto"/>
                <w:bottom w:val="none" w:sz="0" w:space="0" w:color="auto"/>
                <w:right w:val="none" w:sz="0" w:space="0" w:color="auto"/>
              </w:divBdr>
            </w:div>
            <w:div w:id="2060930029">
              <w:marLeft w:val="0"/>
              <w:marRight w:val="0"/>
              <w:marTop w:val="0"/>
              <w:marBottom w:val="0"/>
              <w:divBdr>
                <w:top w:val="none" w:sz="0" w:space="0" w:color="auto"/>
                <w:left w:val="none" w:sz="0" w:space="0" w:color="auto"/>
                <w:bottom w:val="none" w:sz="0" w:space="0" w:color="auto"/>
                <w:right w:val="none" w:sz="0" w:space="0" w:color="auto"/>
              </w:divBdr>
            </w:div>
            <w:div w:id="1708212253">
              <w:marLeft w:val="0"/>
              <w:marRight w:val="0"/>
              <w:marTop w:val="0"/>
              <w:marBottom w:val="0"/>
              <w:divBdr>
                <w:top w:val="none" w:sz="0" w:space="0" w:color="auto"/>
                <w:left w:val="none" w:sz="0" w:space="0" w:color="auto"/>
                <w:bottom w:val="none" w:sz="0" w:space="0" w:color="auto"/>
                <w:right w:val="none" w:sz="0" w:space="0" w:color="auto"/>
              </w:divBdr>
            </w:div>
            <w:div w:id="832140902">
              <w:marLeft w:val="0"/>
              <w:marRight w:val="0"/>
              <w:marTop w:val="0"/>
              <w:marBottom w:val="0"/>
              <w:divBdr>
                <w:top w:val="none" w:sz="0" w:space="0" w:color="auto"/>
                <w:left w:val="none" w:sz="0" w:space="0" w:color="auto"/>
                <w:bottom w:val="none" w:sz="0" w:space="0" w:color="auto"/>
                <w:right w:val="none" w:sz="0" w:space="0" w:color="auto"/>
              </w:divBdr>
            </w:div>
            <w:div w:id="1379478955">
              <w:marLeft w:val="0"/>
              <w:marRight w:val="0"/>
              <w:marTop w:val="0"/>
              <w:marBottom w:val="0"/>
              <w:divBdr>
                <w:top w:val="none" w:sz="0" w:space="0" w:color="auto"/>
                <w:left w:val="none" w:sz="0" w:space="0" w:color="auto"/>
                <w:bottom w:val="none" w:sz="0" w:space="0" w:color="auto"/>
                <w:right w:val="none" w:sz="0" w:space="0" w:color="auto"/>
              </w:divBdr>
            </w:div>
            <w:div w:id="255480746">
              <w:marLeft w:val="0"/>
              <w:marRight w:val="0"/>
              <w:marTop w:val="0"/>
              <w:marBottom w:val="0"/>
              <w:divBdr>
                <w:top w:val="none" w:sz="0" w:space="0" w:color="auto"/>
                <w:left w:val="none" w:sz="0" w:space="0" w:color="auto"/>
                <w:bottom w:val="none" w:sz="0" w:space="0" w:color="auto"/>
                <w:right w:val="none" w:sz="0" w:space="0" w:color="auto"/>
              </w:divBdr>
            </w:div>
            <w:div w:id="1276055136">
              <w:marLeft w:val="0"/>
              <w:marRight w:val="0"/>
              <w:marTop w:val="0"/>
              <w:marBottom w:val="0"/>
              <w:divBdr>
                <w:top w:val="none" w:sz="0" w:space="0" w:color="auto"/>
                <w:left w:val="none" w:sz="0" w:space="0" w:color="auto"/>
                <w:bottom w:val="none" w:sz="0" w:space="0" w:color="auto"/>
                <w:right w:val="none" w:sz="0" w:space="0" w:color="auto"/>
              </w:divBdr>
            </w:div>
            <w:div w:id="188371864">
              <w:marLeft w:val="0"/>
              <w:marRight w:val="0"/>
              <w:marTop w:val="0"/>
              <w:marBottom w:val="0"/>
              <w:divBdr>
                <w:top w:val="none" w:sz="0" w:space="0" w:color="auto"/>
                <w:left w:val="none" w:sz="0" w:space="0" w:color="auto"/>
                <w:bottom w:val="none" w:sz="0" w:space="0" w:color="auto"/>
                <w:right w:val="none" w:sz="0" w:space="0" w:color="auto"/>
              </w:divBdr>
            </w:div>
            <w:div w:id="250897691">
              <w:marLeft w:val="0"/>
              <w:marRight w:val="0"/>
              <w:marTop w:val="0"/>
              <w:marBottom w:val="0"/>
              <w:divBdr>
                <w:top w:val="none" w:sz="0" w:space="0" w:color="auto"/>
                <w:left w:val="none" w:sz="0" w:space="0" w:color="auto"/>
                <w:bottom w:val="none" w:sz="0" w:space="0" w:color="auto"/>
                <w:right w:val="none" w:sz="0" w:space="0" w:color="auto"/>
              </w:divBdr>
            </w:div>
            <w:div w:id="1841659105">
              <w:marLeft w:val="0"/>
              <w:marRight w:val="0"/>
              <w:marTop w:val="0"/>
              <w:marBottom w:val="0"/>
              <w:divBdr>
                <w:top w:val="none" w:sz="0" w:space="0" w:color="auto"/>
                <w:left w:val="none" w:sz="0" w:space="0" w:color="auto"/>
                <w:bottom w:val="none" w:sz="0" w:space="0" w:color="auto"/>
                <w:right w:val="none" w:sz="0" w:space="0" w:color="auto"/>
              </w:divBdr>
            </w:div>
            <w:div w:id="1657147832">
              <w:marLeft w:val="0"/>
              <w:marRight w:val="0"/>
              <w:marTop w:val="0"/>
              <w:marBottom w:val="0"/>
              <w:divBdr>
                <w:top w:val="none" w:sz="0" w:space="0" w:color="auto"/>
                <w:left w:val="none" w:sz="0" w:space="0" w:color="auto"/>
                <w:bottom w:val="none" w:sz="0" w:space="0" w:color="auto"/>
                <w:right w:val="none" w:sz="0" w:space="0" w:color="auto"/>
              </w:divBdr>
            </w:div>
            <w:div w:id="981302938">
              <w:marLeft w:val="0"/>
              <w:marRight w:val="0"/>
              <w:marTop w:val="0"/>
              <w:marBottom w:val="0"/>
              <w:divBdr>
                <w:top w:val="none" w:sz="0" w:space="0" w:color="auto"/>
                <w:left w:val="none" w:sz="0" w:space="0" w:color="auto"/>
                <w:bottom w:val="none" w:sz="0" w:space="0" w:color="auto"/>
                <w:right w:val="none" w:sz="0" w:space="0" w:color="auto"/>
              </w:divBdr>
            </w:div>
            <w:div w:id="361635518">
              <w:marLeft w:val="0"/>
              <w:marRight w:val="0"/>
              <w:marTop w:val="0"/>
              <w:marBottom w:val="0"/>
              <w:divBdr>
                <w:top w:val="none" w:sz="0" w:space="0" w:color="auto"/>
                <w:left w:val="none" w:sz="0" w:space="0" w:color="auto"/>
                <w:bottom w:val="none" w:sz="0" w:space="0" w:color="auto"/>
                <w:right w:val="none" w:sz="0" w:space="0" w:color="auto"/>
              </w:divBdr>
            </w:div>
            <w:div w:id="1628464741">
              <w:marLeft w:val="0"/>
              <w:marRight w:val="0"/>
              <w:marTop w:val="0"/>
              <w:marBottom w:val="0"/>
              <w:divBdr>
                <w:top w:val="none" w:sz="0" w:space="0" w:color="auto"/>
                <w:left w:val="none" w:sz="0" w:space="0" w:color="auto"/>
                <w:bottom w:val="none" w:sz="0" w:space="0" w:color="auto"/>
                <w:right w:val="none" w:sz="0" w:space="0" w:color="auto"/>
              </w:divBdr>
            </w:div>
            <w:div w:id="1246458843">
              <w:marLeft w:val="0"/>
              <w:marRight w:val="0"/>
              <w:marTop w:val="0"/>
              <w:marBottom w:val="0"/>
              <w:divBdr>
                <w:top w:val="none" w:sz="0" w:space="0" w:color="auto"/>
                <w:left w:val="none" w:sz="0" w:space="0" w:color="auto"/>
                <w:bottom w:val="none" w:sz="0" w:space="0" w:color="auto"/>
                <w:right w:val="none" w:sz="0" w:space="0" w:color="auto"/>
              </w:divBdr>
            </w:div>
            <w:div w:id="134362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1150</Words>
  <Characters>6588</Characters>
  <Application>Microsoft Office Word</Application>
  <DocSecurity>0</DocSecurity>
  <Lines>142</Lines>
  <Paragraphs>60</Paragraphs>
  <ScaleCrop>false</ScaleCrop>
  <Company/>
  <LinksUpToDate>false</LinksUpToDate>
  <CharactersWithSpaces>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4</cp:revision>
  <dcterms:created xsi:type="dcterms:W3CDTF">2019-10-22T07:47:00Z</dcterms:created>
  <dcterms:modified xsi:type="dcterms:W3CDTF">2020-01-23T10:41:00Z</dcterms:modified>
</cp:coreProperties>
</file>