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15FC1" w14:textId="77777777" w:rsidR="00DE6F89" w:rsidRPr="00DE6F89" w:rsidRDefault="00DE6F89" w:rsidP="00DE6F89">
      <w:pPr>
        <w:spacing w:after="0" w:line="240" w:lineRule="auto"/>
        <w:jc w:val="both"/>
        <w:rPr>
          <w:rFonts w:ascii="Times New Roman" w:hAnsi="Times New Roman"/>
          <w:bCs/>
          <w:sz w:val="24"/>
        </w:rPr>
      </w:pPr>
    </w:p>
    <w:p w14:paraId="5E0ECFF1" w14:textId="2B08B696" w:rsidR="007C1E77" w:rsidRPr="007C1E77" w:rsidRDefault="007C1E77" w:rsidP="007C1E77">
      <w:pPr>
        <w:spacing w:after="0" w:line="240" w:lineRule="auto"/>
        <w:jc w:val="center"/>
        <w:rPr>
          <w:rFonts w:ascii="Times New Roman" w:hAnsi="Times New Roman"/>
          <w:bCs/>
          <w:sz w:val="20"/>
          <w:szCs w:val="18"/>
        </w:rPr>
      </w:pPr>
      <w:r w:rsidRPr="007C1E77">
        <w:rPr>
          <w:rFonts w:ascii="Times New Roman" w:hAnsi="Times New Roman"/>
          <w:bCs/>
          <w:sz w:val="20"/>
          <w:szCs w:val="18"/>
        </w:rPr>
        <w:t>Text consolidated by Valsts valodas centrs (State Language Centre) with amending decisions of:</w:t>
      </w:r>
    </w:p>
    <w:p w14:paraId="22592AE0" w14:textId="05C3BFD6" w:rsidR="007C1E77" w:rsidRPr="007C1E77" w:rsidRDefault="000E10B9" w:rsidP="007C1E77">
      <w:pPr>
        <w:spacing w:after="0" w:line="240" w:lineRule="auto"/>
        <w:jc w:val="center"/>
        <w:rPr>
          <w:rFonts w:ascii="Times New Roman" w:hAnsi="Times New Roman"/>
          <w:bCs/>
          <w:sz w:val="20"/>
          <w:szCs w:val="18"/>
        </w:rPr>
      </w:pPr>
      <w:r>
        <w:rPr>
          <w:rFonts w:ascii="Times New Roman" w:hAnsi="Times New Roman"/>
          <w:bCs/>
          <w:sz w:val="20"/>
          <w:szCs w:val="18"/>
        </w:rPr>
        <w:t>23 </w:t>
      </w:r>
      <w:r w:rsidR="007C1E77" w:rsidRPr="007C1E77">
        <w:rPr>
          <w:rFonts w:ascii="Times New Roman" w:hAnsi="Times New Roman"/>
          <w:bCs/>
          <w:sz w:val="20"/>
          <w:szCs w:val="18"/>
        </w:rPr>
        <w:t>December</w:t>
      </w:r>
      <w:r>
        <w:rPr>
          <w:rFonts w:ascii="Times New Roman" w:hAnsi="Times New Roman"/>
          <w:bCs/>
          <w:sz w:val="20"/>
          <w:szCs w:val="18"/>
        </w:rPr>
        <w:t> </w:t>
      </w:r>
      <w:r w:rsidR="007C1E77" w:rsidRPr="007C1E77">
        <w:rPr>
          <w:rFonts w:ascii="Times New Roman" w:hAnsi="Times New Roman"/>
          <w:bCs/>
          <w:sz w:val="20"/>
          <w:szCs w:val="18"/>
        </w:rPr>
        <w:t>201</w:t>
      </w:r>
      <w:r>
        <w:rPr>
          <w:rFonts w:ascii="Times New Roman" w:hAnsi="Times New Roman"/>
          <w:bCs/>
          <w:sz w:val="20"/>
          <w:szCs w:val="18"/>
        </w:rPr>
        <w:t>9</w:t>
      </w:r>
      <w:r w:rsidR="007C1E77" w:rsidRPr="007C1E77">
        <w:rPr>
          <w:rFonts w:ascii="Times New Roman" w:hAnsi="Times New Roman"/>
          <w:bCs/>
          <w:sz w:val="20"/>
          <w:szCs w:val="18"/>
        </w:rPr>
        <w:t xml:space="preserve"> [shall come into force </w:t>
      </w:r>
      <w:r w:rsidR="005A3875">
        <w:rPr>
          <w:rFonts w:ascii="Times New Roman" w:hAnsi="Times New Roman"/>
          <w:bCs/>
          <w:sz w:val="20"/>
          <w:szCs w:val="18"/>
        </w:rPr>
        <w:t>on</w:t>
      </w:r>
      <w:r w:rsidR="007C1E77" w:rsidRPr="007C1E77">
        <w:rPr>
          <w:rFonts w:ascii="Times New Roman" w:hAnsi="Times New Roman"/>
          <w:bCs/>
          <w:sz w:val="20"/>
          <w:szCs w:val="18"/>
        </w:rPr>
        <w:t xml:space="preserve"> 1</w:t>
      </w:r>
      <w:r>
        <w:rPr>
          <w:rFonts w:ascii="Times New Roman" w:hAnsi="Times New Roman"/>
          <w:bCs/>
          <w:sz w:val="20"/>
          <w:szCs w:val="18"/>
        </w:rPr>
        <w:t> </w:t>
      </w:r>
      <w:r w:rsidR="007C1E77" w:rsidRPr="007C1E77">
        <w:rPr>
          <w:rFonts w:ascii="Times New Roman" w:hAnsi="Times New Roman"/>
          <w:bCs/>
          <w:sz w:val="20"/>
          <w:szCs w:val="18"/>
        </w:rPr>
        <w:t>January</w:t>
      </w:r>
      <w:r>
        <w:rPr>
          <w:rFonts w:ascii="Times New Roman" w:hAnsi="Times New Roman"/>
          <w:bCs/>
          <w:sz w:val="20"/>
          <w:szCs w:val="18"/>
        </w:rPr>
        <w:t> </w:t>
      </w:r>
      <w:r w:rsidR="007C1E77" w:rsidRPr="007C1E77">
        <w:rPr>
          <w:rFonts w:ascii="Times New Roman" w:hAnsi="Times New Roman"/>
          <w:bCs/>
          <w:sz w:val="20"/>
          <w:szCs w:val="18"/>
        </w:rPr>
        <w:t>20</w:t>
      </w:r>
      <w:r>
        <w:rPr>
          <w:rFonts w:ascii="Times New Roman" w:hAnsi="Times New Roman"/>
          <w:bCs/>
          <w:sz w:val="20"/>
          <w:szCs w:val="18"/>
        </w:rPr>
        <w:t>20</w:t>
      </w:r>
      <w:r w:rsidR="007C1E77" w:rsidRPr="007C1E77">
        <w:rPr>
          <w:rFonts w:ascii="Times New Roman" w:hAnsi="Times New Roman"/>
          <w:bCs/>
          <w:sz w:val="20"/>
          <w:szCs w:val="18"/>
        </w:rPr>
        <w:t>];</w:t>
      </w:r>
    </w:p>
    <w:p w14:paraId="7E00A95E" w14:textId="07CA330F" w:rsidR="007C1E77" w:rsidRPr="007C1E77" w:rsidRDefault="005A3875" w:rsidP="007C1E77">
      <w:pPr>
        <w:spacing w:after="0" w:line="240" w:lineRule="auto"/>
        <w:jc w:val="center"/>
        <w:rPr>
          <w:rFonts w:ascii="Times New Roman" w:hAnsi="Times New Roman"/>
          <w:bCs/>
          <w:sz w:val="20"/>
          <w:szCs w:val="18"/>
        </w:rPr>
      </w:pPr>
      <w:r>
        <w:rPr>
          <w:rFonts w:ascii="Times New Roman" w:hAnsi="Times New Roman"/>
          <w:bCs/>
          <w:sz w:val="20"/>
          <w:szCs w:val="18"/>
        </w:rPr>
        <w:t>31 May 2021</w:t>
      </w:r>
      <w:r w:rsidR="007C1E77" w:rsidRPr="007C1E77">
        <w:rPr>
          <w:rFonts w:ascii="Times New Roman" w:hAnsi="Times New Roman"/>
          <w:bCs/>
          <w:sz w:val="20"/>
          <w:szCs w:val="18"/>
        </w:rPr>
        <w:t xml:space="preserve"> [shall come into force </w:t>
      </w:r>
      <w:r>
        <w:rPr>
          <w:rFonts w:ascii="Times New Roman" w:hAnsi="Times New Roman"/>
          <w:bCs/>
          <w:sz w:val="20"/>
          <w:szCs w:val="18"/>
        </w:rPr>
        <w:t>on</w:t>
      </w:r>
      <w:r w:rsidR="007C1E77" w:rsidRPr="007C1E77">
        <w:rPr>
          <w:rFonts w:ascii="Times New Roman" w:hAnsi="Times New Roman"/>
          <w:bCs/>
          <w:sz w:val="20"/>
          <w:szCs w:val="18"/>
        </w:rPr>
        <w:t xml:space="preserve"> 1</w:t>
      </w:r>
      <w:r>
        <w:rPr>
          <w:rFonts w:ascii="Times New Roman" w:hAnsi="Times New Roman"/>
          <w:bCs/>
          <w:sz w:val="20"/>
          <w:szCs w:val="18"/>
        </w:rPr>
        <w:t> June </w:t>
      </w:r>
      <w:r w:rsidR="007C1E77" w:rsidRPr="007C1E77">
        <w:rPr>
          <w:rFonts w:ascii="Times New Roman" w:hAnsi="Times New Roman"/>
          <w:bCs/>
          <w:sz w:val="20"/>
          <w:szCs w:val="18"/>
        </w:rPr>
        <w:t>20</w:t>
      </w:r>
      <w:r>
        <w:rPr>
          <w:rFonts w:ascii="Times New Roman" w:hAnsi="Times New Roman"/>
          <w:bCs/>
          <w:sz w:val="20"/>
          <w:szCs w:val="18"/>
        </w:rPr>
        <w:t>21</w:t>
      </w:r>
      <w:r w:rsidR="007C1E77" w:rsidRPr="007C1E77">
        <w:rPr>
          <w:rFonts w:ascii="Times New Roman" w:hAnsi="Times New Roman"/>
          <w:bCs/>
          <w:sz w:val="20"/>
          <w:szCs w:val="18"/>
        </w:rPr>
        <w:t>].</w:t>
      </w:r>
    </w:p>
    <w:p w14:paraId="7A723839" w14:textId="7C73525F" w:rsidR="007C1E77" w:rsidRPr="007C1E77" w:rsidRDefault="007C1E77" w:rsidP="007C1E77">
      <w:pPr>
        <w:spacing w:after="0" w:line="240" w:lineRule="auto"/>
        <w:jc w:val="center"/>
        <w:rPr>
          <w:rFonts w:ascii="Times New Roman" w:hAnsi="Times New Roman"/>
          <w:bCs/>
          <w:sz w:val="20"/>
          <w:szCs w:val="18"/>
        </w:rPr>
      </w:pPr>
      <w:r w:rsidRPr="007C1E77">
        <w:rPr>
          <w:rFonts w:ascii="Times New Roman" w:hAnsi="Times New Roman"/>
          <w:bCs/>
          <w:sz w:val="20"/>
          <w:szCs w:val="18"/>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9E5D08E" w14:textId="77777777" w:rsidR="007C1E77" w:rsidRPr="00DE6F89" w:rsidRDefault="007C1E77" w:rsidP="00DE6F89">
      <w:pPr>
        <w:spacing w:after="0" w:line="240" w:lineRule="auto"/>
        <w:jc w:val="both"/>
        <w:rPr>
          <w:rFonts w:ascii="Times New Roman" w:hAnsi="Times New Roman"/>
          <w:bCs/>
          <w:sz w:val="24"/>
        </w:rPr>
      </w:pPr>
    </w:p>
    <w:p w14:paraId="21647DBB" w14:textId="77777777" w:rsidR="00DE6F89" w:rsidRPr="00DE6F89" w:rsidRDefault="00DE6F89" w:rsidP="00DE6F89">
      <w:pPr>
        <w:spacing w:after="0" w:line="240" w:lineRule="auto"/>
        <w:jc w:val="both"/>
        <w:rPr>
          <w:rFonts w:ascii="Times New Roman" w:hAnsi="Times New Roman"/>
          <w:bCs/>
          <w:sz w:val="24"/>
        </w:rPr>
      </w:pPr>
    </w:p>
    <w:p w14:paraId="5095A9E8" w14:textId="1E95F8B0" w:rsidR="00413A2D" w:rsidRDefault="00552341" w:rsidP="00413A2D">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Decision No. 1/42 of the Board of the Public Utilities Commission</w:t>
      </w:r>
    </w:p>
    <w:p w14:paraId="6A124BA9" w14:textId="77777777" w:rsidR="00413A2D" w:rsidRDefault="00413A2D" w:rsidP="00413A2D">
      <w:pPr>
        <w:spacing w:after="0" w:line="240" w:lineRule="auto"/>
        <w:jc w:val="both"/>
        <w:rPr>
          <w:rFonts w:ascii="Times New Roman" w:eastAsia="Times New Roman" w:hAnsi="Times New Roman" w:cs="Times New Roman"/>
          <w:noProof/>
          <w:sz w:val="24"/>
          <w:szCs w:val="24"/>
          <w:lang w:eastAsia="lv-LV"/>
        </w:rPr>
      </w:pPr>
    </w:p>
    <w:p w14:paraId="3D23C825" w14:textId="79E47A80" w:rsidR="00552341" w:rsidRDefault="00552341" w:rsidP="00413A2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December 2017</w:t>
      </w:r>
    </w:p>
    <w:p w14:paraId="241F96C7" w14:textId="77777777" w:rsidR="00413A2D" w:rsidRDefault="00413A2D" w:rsidP="00413A2D">
      <w:pPr>
        <w:spacing w:after="0" w:line="240" w:lineRule="auto"/>
        <w:jc w:val="both"/>
        <w:rPr>
          <w:rFonts w:ascii="Times New Roman" w:eastAsia="Times New Roman" w:hAnsi="Times New Roman" w:cs="Times New Roman"/>
          <w:noProof/>
          <w:sz w:val="24"/>
          <w:szCs w:val="24"/>
          <w:lang w:eastAsia="lv-LV"/>
        </w:rPr>
      </w:pPr>
    </w:p>
    <w:p w14:paraId="66B696C1" w14:textId="77777777" w:rsidR="00413A2D" w:rsidRPr="005C11B1" w:rsidRDefault="00413A2D" w:rsidP="00413A2D">
      <w:pPr>
        <w:spacing w:after="0" w:line="240" w:lineRule="auto"/>
        <w:jc w:val="both"/>
        <w:rPr>
          <w:rFonts w:ascii="Times New Roman" w:eastAsia="Times New Roman" w:hAnsi="Times New Roman" w:cs="Times New Roman"/>
          <w:noProof/>
          <w:sz w:val="24"/>
          <w:szCs w:val="24"/>
          <w:lang w:eastAsia="lv-LV"/>
        </w:rPr>
      </w:pPr>
    </w:p>
    <w:p w14:paraId="20C203FE" w14:textId="77777777" w:rsidR="00552341" w:rsidRPr="00413A2D" w:rsidRDefault="00552341" w:rsidP="00413A2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General Regulations for the Submission of Information</w:t>
      </w:r>
    </w:p>
    <w:p w14:paraId="0DEB7D4F" w14:textId="77777777" w:rsidR="00413A2D" w:rsidRDefault="00413A2D" w:rsidP="00413A2D">
      <w:pPr>
        <w:spacing w:after="0" w:line="240" w:lineRule="auto"/>
        <w:jc w:val="both"/>
        <w:rPr>
          <w:rFonts w:ascii="Times New Roman" w:eastAsia="Times New Roman" w:hAnsi="Times New Roman" w:cs="Times New Roman"/>
          <w:noProof/>
          <w:sz w:val="24"/>
          <w:szCs w:val="24"/>
          <w:lang w:eastAsia="lv-LV"/>
        </w:rPr>
      </w:pPr>
    </w:p>
    <w:p w14:paraId="247C8D74" w14:textId="77777777" w:rsidR="00413A2D" w:rsidRPr="005C11B1" w:rsidRDefault="00413A2D" w:rsidP="00413A2D">
      <w:pPr>
        <w:spacing w:after="0" w:line="240" w:lineRule="auto"/>
        <w:jc w:val="both"/>
        <w:rPr>
          <w:rFonts w:ascii="Times New Roman" w:eastAsia="Times New Roman" w:hAnsi="Times New Roman" w:cs="Times New Roman"/>
          <w:noProof/>
          <w:sz w:val="24"/>
          <w:szCs w:val="24"/>
          <w:lang w:eastAsia="lv-LV"/>
        </w:rPr>
      </w:pPr>
    </w:p>
    <w:p w14:paraId="666232BD" w14:textId="77777777" w:rsidR="00413A2D" w:rsidRPr="00413A2D" w:rsidRDefault="00552341" w:rsidP="00413A2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E1FE4DD" w14:textId="71C318C3" w:rsidR="00552341" w:rsidRPr="00413A2D" w:rsidRDefault="00552341" w:rsidP="00413A2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Paragraph one of the Law On Regulators of Public Utilities</w:t>
      </w:r>
    </w:p>
    <w:p w14:paraId="7EEC79BF" w14:textId="77777777" w:rsidR="00413A2D" w:rsidRDefault="00413A2D" w:rsidP="00413A2D">
      <w:pPr>
        <w:spacing w:after="0" w:line="240" w:lineRule="auto"/>
        <w:jc w:val="both"/>
        <w:rPr>
          <w:rFonts w:ascii="Times New Roman" w:eastAsia="Times New Roman" w:hAnsi="Times New Roman" w:cs="Times New Roman"/>
          <w:noProof/>
          <w:sz w:val="24"/>
          <w:szCs w:val="24"/>
          <w:lang w:eastAsia="lv-LV"/>
        </w:rPr>
      </w:pPr>
    </w:p>
    <w:p w14:paraId="27F977EA" w14:textId="77777777" w:rsidR="00413A2D" w:rsidRPr="005C11B1" w:rsidRDefault="00413A2D" w:rsidP="00413A2D">
      <w:pPr>
        <w:spacing w:after="0" w:line="240" w:lineRule="auto"/>
        <w:jc w:val="both"/>
        <w:rPr>
          <w:rFonts w:ascii="Times New Roman" w:eastAsia="Times New Roman" w:hAnsi="Times New Roman" w:cs="Times New Roman"/>
          <w:noProof/>
          <w:sz w:val="24"/>
          <w:szCs w:val="24"/>
          <w:lang w:eastAsia="lv-LV"/>
        </w:rPr>
      </w:pPr>
    </w:p>
    <w:p w14:paraId="389BD7F7" w14:textId="77777777" w:rsidR="00552341" w:rsidRPr="005C11B1" w:rsidRDefault="00552341" w:rsidP="00716A89">
      <w:pPr>
        <w:spacing w:after="0" w:line="240" w:lineRule="auto"/>
        <w:jc w:val="center"/>
        <w:rPr>
          <w:rFonts w:ascii="Times New Roman" w:eastAsia="Times New Roman" w:hAnsi="Times New Roman" w:cs="Times New Roman"/>
          <w:b/>
          <w:bCs/>
          <w:noProof/>
          <w:sz w:val="24"/>
          <w:szCs w:val="24"/>
        </w:rPr>
      </w:pPr>
      <w:bookmarkStart w:id="0" w:name="n1"/>
      <w:bookmarkStart w:id="1" w:name="n-643777"/>
      <w:bookmarkEnd w:id="0"/>
      <w:bookmarkEnd w:id="1"/>
      <w:r>
        <w:rPr>
          <w:rFonts w:ascii="Times New Roman" w:hAnsi="Times New Roman"/>
          <w:b/>
          <w:sz w:val="24"/>
        </w:rPr>
        <w:t>I. General Provisions</w:t>
      </w:r>
    </w:p>
    <w:p w14:paraId="0C918523"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 w:name="p1"/>
      <w:bookmarkStart w:id="3" w:name="p-643778"/>
      <w:bookmarkEnd w:id="2"/>
      <w:bookmarkEnd w:id="3"/>
    </w:p>
    <w:p w14:paraId="4DB8E4DD" w14:textId="22E37F25"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regulations for the submission of information (hereinafter – the Regulation) shall prescribe:</w:t>
      </w:r>
    </w:p>
    <w:p w14:paraId="4930CCB9"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general procedures by which a provider of public utilities, public electricity trader and electricity system owner (hereinafter collectively – the Merchant) shall submit to the Public Utilities Commission (hereinafter – the Regulator) the information required by the Regulator for the performance of the functions laid down in the law On Regulators of Public Utilities (hereinafter – the Law) and the special laws and regulations of regulated industries;</w:t>
      </w:r>
    </w:p>
    <w:p w14:paraId="702AB842"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the Merchant shall submit information regarding the calculation of the State fee for the regulation of public utilities (hereinafter – the State fee) to the Regulator.</w:t>
      </w:r>
    </w:p>
    <w:p w14:paraId="64F566EA"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4" w:name="p2"/>
      <w:bookmarkStart w:id="5" w:name="p-643779"/>
      <w:bookmarkEnd w:id="4"/>
      <w:bookmarkEnd w:id="5"/>
    </w:p>
    <w:p w14:paraId="31EBC120" w14:textId="6FCB4A7C"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shall hold the Merchant liable in accordance with the procedures laid down in laws and regulations for the failure to provide information at the disposal of the Merchant in accordance with the procedures or time period specified by the Regulator, and also for the provision of false information to the Regulator.</w:t>
      </w:r>
    </w:p>
    <w:p w14:paraId="246621D5"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6" w:name="p3"/>
      <w:bookmarkStart w:id="7" w:name="p-643780"/>
      <w:bookmarkEnd w:id="6"/>
      <w:bookmarkEnd w:id="7"/>
    </w:p>
    <w:p w14:paraId="3C5CB9EC" w14:textId="357A0031"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determine the status of restricted information received from the Merchant or any part thereof if the Merchant has fulfilled the requirements laid down in Section 45 of the Law.</w:t>
      </w:r>
    </w:p>
    <w:p w14:paraId="23E05600"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8" w:name="n2"/>
      <w:bookmarkStart w:id="9" w:name="n-643781"/>
      <w:bookmarkEnd w:id="8"/>
      <w:bookmarkEnd w:id="9"/>
    </w:p>
    <w:p w14:paraId="4C556FA5" w14:textId="45AD4942" w:rsidR="00552341" w:rsidRPr="005C11B1" w:rsidRDefault="00552341" w:rsidP="00F771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General Procedures for the Submission of Information</w:t>
      </w:r>
    </w:p>
    <w:p w14:paraId="479633FB"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10" w:name="p4"/>
      <w:bookmarkStart w:id="11" w:name="p-643782"/>
      <w:bookmarkEnd w:id="10"/>
      <w:bookmarkEnd w:id="11"/>
    </w:p>
    <w:p w14:paraId="04A8EFC7" w14:textId="704FFC7D"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 shall submit the information to the Regulator in electronic form by using the System for Input and Processing of Merchant’s Information (hereinafter – the SIPI) under the supervision of the Regulator.</w:t>
      </w:r>
    </w:p>
    <w:p w14:paraId="76235B0A"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12" w:name="p5"/>
      <w:bookmarkStart w:id="13" w:name="p-643783"/>
      <w:bookmarkEnd w:id="12"/>
      <w:bookmarkEnd w:id="13"/>
    </w:p>
    <w:p w14:paraId="600348CF" w14:textId="29928C76"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technical capabilities of the Regulator or the Merchant do not allow the use of SIPI, the Merchant may submit the information to the Regulator in one of the following ways:</w:t>
      </w:r>
    </w:p>
    <w:p w14:paraId="790D0AC8"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by submitting it to the Regulator in person;</w:t>
      </w:r>
    </w:p>
    <w:p w14:paraId="046395D8"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by sending it to the Regulator by post;</w:t>
      </w:r>
    </w:p>
    <w:p w14:paraId="7B782441"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by submitting it to the Regulator with the intermediation of the electronic post sprk@sprk.gov.lv as an electronic document with a secure electronic signature and time stamp.</w:t>
      </w:r>
    </w:p>
    <w:p w14:paraId="2383C970"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14" w:name="p6"/>
      <w:bookmarkStart w:id="15" w:name="p-643784"/>
      <w:bookmarkEnd w:id="14"/>
      <w:bookmarkEnd w:id="15"/>
    </w:p>
    <w:p w14:paraId="4B13D8EF" w14:textId="636E8F7E"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Merchant shall submit the information to the Regulator about a change of data included in the notification on registration within 30 days from the day when the relevant changes have been made.</w:t>
      </w:r>
    </w:p>
    <w:p w14:paraId="119D87C7"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16" w:name="p7"/>
      <w:bookmarkStart w:id="17" w:name="p-643785"/>
      <w:bookmarkEnd w:id="16"/>
      <w:bookmarkEnd w:id="17"/>
    </w:p>
    <w:p w14:paraId="53762476" w14:textId="5DBF5E9D"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addition to the information specified in the Regulation, in accordance with the procedures, extent and time period laid down in laws and regulations or by the Regulator, the Merchant shall also submit to the Regulator other information which is necessary for the Regulator for the performance of the functions laid down in the Law or the special laws and regulations of regulated industries.</w:t>
      </w:r>
    </w:p>
    <w:p w14:paraId="20C730AA"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18" w:name="n3"/>
      <w:bookmarkStart w:id="19" w:name="n-643786"/>
      <w:bookmarkEnd w:id="18"/>
      <w:bookmarkEnd w:id="19"/>
    </w:p>
    <w:p w14:paraId="7661A253" w14:textId="685505AA" w:rsidR="00552341" w:rsidRPr="005C11B1" w:rsidRDefault="00552341" w:rsidP="00F771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Submission of the Information Necessary for the Calculation of the State Fee</w:t>
      </w:r>
    </w:p>
    <w:p w14:paraId="3DA4D666"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0" w:name="p8"/>
      <w:bookmarkStart w:id="21" w:name="p-643787"/>
      <w:bookmarkEnd w:id="20"/>
      <w:bookmarkEnd w:id="21"/>
    </w:p>
    <w:p w14:paraId="1A9D33BB" w14:textId="14A29E6F"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provider of public utilities shall submit information regarding the State fee calculated in accordance with the procedures laid down in the Law to the Regulator in the amount specified in Annex 1 to this Regulation.</w:t>
      </w:r>
    </w:p>
    <w:p w14:paraId="5A9DF0A0"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2" w:name="p9"/>
      <w:bookmarkStart w:id="23" w:name="p-783961"/>
      <w:bookmarkEnd w:id="22"/>
      <w:bookmarkEnd w:id="23"/>
    </w:p>
    <w:p w14:paraId="1BD63DDD" w14:textId="18178D8C"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provider of public utilities shall submit the information about the calculated State fee to the Regulator within the following time periods:</w:t>
      </w:r>
    </w:p>
    <w:p w14:paraId="05101238"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in the first calendar year of operation – within a period of 30 days after receipt of the licence laid down in laws and regulations, after the sending of the notification on registration or after the registration of the Merchant in the relevant register;</w:t>
      </w:r>
    </w:p>
    <w:p w14:paraId="54979408"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in the second calendar year of operation:</w:t>
      </w:r>
    </w:p>
    <w:p w14:paraId="5616DEC1" w14:textId="77777777" w:rsidR="00552341" w:rsidRPr="005C11B1" w:rsidRDefault="00552341" w:rsidP="00F771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9.2.1. until 30 January of the relevant calendar year for the calculated State fee for the relevant calendar year;</w:t>
      </w:r>
    </w:p>
    <w:p w14:paraId="466C88E0" w14:textId="77777777" w:rsidR="00552341" w:rsidRPr="005C11B1" w:rsidRDefault="00552341" w:rsidP="00F771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9.2.2. until 15 July of the relevant calendar year:</w:t>
      </w:r>
    </w:p>
    <w:p w14:paraId="4CCBCF64" w14:textId="77777777" w:rsidR="00552341" w:rsidRPr="005C11B1" w:rsidRDefault="00552341" w:rsidP="00F771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9.2.2.1. for the calculated State fee for the subsequent calendar year;</w:t>
      </w:r>
    </w:p>
    <w:p w14:paraId="41E01D40" w14:textId="77777777" w:rsidR="00552341" w:rsidRPr="005C11B1" w:rsidRDefault="00552341" w:rsidP="00F7717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9.2.2.2. if necessary, updated information about the calculated State fee in the first and second calendar year of the operation;</w:t>
      </w:r>
    </w:p>
    <w:p w14:paraId="4DCEE5A2"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in the third and subsequent calendar years of operation – until 15 July of the relevant calendar year for the calculated State fee for the subsequent calendar year.</w:t>
      </w:r>
    </w:p>
    <w:p w14:paraId="154C5956"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36C0A8C6"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4" w:name="p10"/>
      <w:bookmarkStart w:id="25" w:name="p-643789"/>
      <w:bookmarkEnd w:id="24"/>
      <w:bookmarkEnd w:id="25"/>
    </w:p>
    <w:p w14:paraId="2D0BF7C8" w14:textId="292620AF"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public electricity trader shall submit the information about the State fee calculated in accordance with the procedures laid down in the Electricity Market Law and the Law to the Regulator in the amount specified in Annex 2 to the Regulation.</w:t>
      </w:r>
    </w:p>
    <w:p w14:paraId="44899164"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6" w:name="p11"/>
      <w:bookmarkStart w:id="27" w:name="p-783962"/>
      <w:bookmarkEnd w:id="26"/>
      <w:bookmarkEnd w:id="27"/>
    </w:p>
    <w:p w14:paraId="3F2D8EB2" w14:textId="644EF7E9"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public electricity trader shall submit the information about the calculated State fee to the Regulator within the following time periods:</w:t>
      </w:r>
    </w:p>
    <w:p w14:paraId="51C810BD"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until 30 January of the relevant calendar year – in conformity with the forecasts of the public electricity trader about payments made by end-users in the previous calendar year which compensate the costs laid down in the Electricity Market Law (hereinafter – the Payments) for the public electricity trader;</w:t>
      </w:r>
    </w:p>
    <w:p w14:paraId="033706D8"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until 15 July of the relevant calendar year – in conformity with the actual amount of the Payments in the previous calendar year.</w:t>
      </w:r>
    </w:p>
    <w:p w14:paraId="710E3A5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4111D617"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28" w:name="p12"/>
      <w:bookmarkStart w:id="29" w:name="p-783963"/>
      <w:bookmarkEnd w:id="28"/>
      <w:bookmarkEnd w:id="29"/>
    </w:p>
    <w:p w14:paraId="49E0624A" w14:textId="7680AA4A"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[27 May 2021]</w:t>
      </w:r>
    </w:p>
    <w:p w14:paraId="4D0C936D"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30" w:name="p13"/>
      <w:bookmarkStart w:id="31" w:name="p-783964"/>
      <w:bookmarkEnd w:id="30"/>
      <w:bookmarkEnd w:id="31"/>
    </w:p>
    <w:p w14:paraId="40277D16" w14:textId="3B0F17B0"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[27 May 2021]</w:t>
      </w:r>
    </w:p>
    <w:p w14:paraId="482B2AA0"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32" w:name="p13_1"/>
      <w:bookmarkStart w:id="33" w:name="p-783965"/>
      <w:bookmarkEnd w:id="32"/>
      <w:bookmarkEnd w:id="33"/>
    </w:p>
    <w:p w14:paraId="45F6846B" w14:textId="270A109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1 </w:t>
      </w:r>
      <w:r>
        <w:rPr>
          <w:rFonts w:ascii="Times New Roman" w:hAnsi="Times New Roman"/>
          <w:sz w:val="24"/>
        </w:rPr>
        <w:t>The deposit system operator shall submit information to the Regulator about the State fee calculated in accordance with the procedures laid down in the Packaging Law and the Law in the amount specified in Annex 4 to this Regulation.</w:t>
      </w:r>
    </w:p>
    <w:p w14:paraId="1D42C50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7BEBFB06"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34" w:name="p13_2"/>
      <w:bookmarkStart w:id="35" w:name="p-783966"/>
      <w:bookmarkEnd w:id="34"/>
      <w:bookmarkEnd w:id="35"/>
    </w:p>
    <w:p w14:paraId="258D7450" w14:textId="3EC08CF2"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xml:space="preserve"> The deposit system operator shall submit information about the calculated State fee to the Regulator within the following time periods:</w:t>
      </w:r>
    </w:p>
    <w:p w14:paraId="3EB3E193"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1. within 30 days of the registration of the Merchant in the relevant register – in conformity with the amount of the deposit fee received during the first calendar year of the provision of public utilities for the planned amount;</w:t>
      </w:r>
    </w:p>
    <w:p w14:paraId="15E1AD4E"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2 </w:t>
      </w:r>
      <w:r>
        <w:rPr>
          <w:rFonts w:ascii="Times New Roman" w:hAnsi="Times New Roman"/>
          <w:sz w:val="24"/>
        </w:rPr>
        <w:t>2. in the second and subsequent calendar years of the provision of public utilities:</w:t>
      </w:r>
    </w:p>
    <w:p w14:paraId="0DC24834" w14:textId="77777777" w:rsidR="00552341" w:rsidRPr="005C11B1" w:rsidRDefault="00552341" w:rsidP="00F771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2 </w:t>
      </w:r>
      <w:r>
        <w:rPr>
          <w:rFonts w:ascii="Times New Roman" w:hAnsi="Times New Roman"/>
          <w:sz w:val="24"/>
        </w:rPr>
        <w:t>2.1. until 30 January of the relevant calendar year – in conformity with the forecasts for the amount of deposit fees received in the previous calendar year;</w:t>
      </w:r>
    </w:p>
    <w:p w14:paraId="7158B593" w14:textId="77777777" w:rsidR="00552341" w:rsidRPr="005C11B1" w:rsidRDefault="00552341" w:rsidP="00F7717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2 </w:t>
      </w:r>
      <w:r>
        <w:rPr>
          <w:rFonts w:ascii="Times New Roman" w:hAnsi="Times New Roman"/>
          <w:sz w:val="24"/>
        </w:rPr>
        <w:t>2.2. until 15 July of the relevant calendar year – in conformity with the actual amount of the deposit fee received in the previous calendar year if the information about the calculated State fee differs from the information submitted to the Regulator in accordance with Sub-paragraph 13.</w:t>
      </w:r>
      <w:r>
        <w:rPr>
          <w:rFonts w:ascii="Times New Roman" w:hAnsi="Times New Roman"/>
          <w:sz w:val="24"/>
          <w:vertAlign w:val="superscript"/>
        </w:rPr>
        <w:t xml:space="preserve">2 </w:t>
      </w:r>
      <w:r>
        <w:rPr>
          <w:rFonts w:ascii="Times New Roman" w:hAnsi="Times New Roman"/>
          <w:sz w:val="24"/>
        </w:rPr>
        <w:t>2.1 of this Regulation.</w:t>
      </w:r>
    </w:p>
    <w:p w14:paraId="733ABB9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656A3104"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36" w:name="n4"/>
      <w:bookmarkStart w:id="37" w:name="n-643793"/>
      <w:bookmarkEnd w:id="36"/>
      <w:bookmarkEnd w:id="37"/>
    </w:p>
    <w:p w14:paraId="2F3A8A8F" w14:textId="77C1EB3B" w:rsidR="00552341" w:rsidRPr="005C11B1" w:rsidRDefault="00552341" w:rsidP="00F771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048BC40F"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38" w:name="p14"/>
      <w:bookmarkStart w:id="39" w:name="p-643794"/>
      <w:bookmarkEnd w:id="38"/>
      <w:bookmarkEnd w:id="39"/>
    </w:p>
    <w:p w14:paraId="73E2648A" w14:textId="35E74696"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2018 the provider of public utilities:</w:t>
      </w:r>
    </w:p>
    <w:p w14:paraId="4F38051B"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shall submit information about the calculated State fee for 2018 to the Regulator until 30 January 2018 in conformity with the actual net turnover in 2016;</w:t>
      </w:r>
    </w:p>
    <w:p w14:paraId="3328CA21" w14:textId="77777777" w:rsidR="00552341" w:rsidRPr="005C11B1" w:rsidRDefault="00552341" w:rsidP="00F771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shall submit information about the calculated State fee for 2019 to the Regulator not later than until 15 August 2018 in conformity with the actual net turnover in 2017.</w:t>
      </w:r>
    </w:p>
    <w:p w14:paraId="078169A5"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40" w:name="p15"/>
      <w:bookmarkStart w:id="41" w:name="p-643795"/>
      <w:bookmarkEnd w:id="40"/>
      <w:bookmarkEnd w:id="41"/>
    </w:p>
    <w:p w14:paraId="3EDF2E5A" w14:textId="5C496A5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provider of public utilities who has received a licence in 2017 or 2018 in accordance with the procedures laid down in laws and regulations, has sent a notification on registration or has been registered in the relevant register shall submit the information about the calculated State fee for 2018 to the Regulator in accordance with the procedures laid down in Paragraphs 8 and 9 of the Regulation.</w:t>
      </w:r>
    </w:p>
    <w:p w14:paraId="623D1487"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42" w:name="p15_1"/>
      <w:bookmarkStart w:id="43" w:name="p-783967"/>
      <w:bookmarkEnd w:id="42"/>
      <w:bookmarkEnd w:id="43"/>
    </w:p>
    <w:p w14:paraId="13020EC9" w14:textId="6289F9B2"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A deposit system operator registered in the Regulator’s register of deposit system operators ensuring the provision of deposit system services until 1 February 2022 shall submit the information on the calculated State fee to the Regulator until 1 March 2022.</w:t>
      </w:r>
    </w:p>
    <w:p w14:paraId="50FDF19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19CCBD74"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44" w:name="p16"/>
      <w:bookmarkStart w:id="45" w:name="p-643796"/>
      <w:bookmarkEnd w:id="44"/>
      <w:bookmarkEnd w:id="45"/>
    </w:p>
    <w:p w14:paraId="3928F229" w14:textId="5312F84E"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Public Utilities Commission Decision No. 1/5 of 11 November 2009, Regulations Regarding Information to be Submitted to the Public Utilities Commission (</w:t>
      </w:r>
      <w:r>
        <w:rPr>
          <w:rFonts w:ascii="Times New Roman" w:hAnsi="Times New Roman"/>
          <w:i/>
          <w:iCs/>
          <w:sz w:val="24"/>
        </w:rPr>
        <w:t>Latvijas Vēstnesis</w:t>
      </w:r>
      <w:r>
        <w:rPr>
          <w:rFonts w:ascii="Times New Roman" w:hAnsi="Times New Roman"/>
          <w:sz w:val="24"/>
        </w:rPr>
        <w:t> 2009, No. 183; 2010, No. 177, 2011, No. 169, 2012, No. 92, 2013, No.241, 2015, No. 5, 2015, No. 250, 2016, No. 169, 2016, No. 187, 2017, No. 74), is repealed.</w:t>
      </w:r>
    </w:p>
    <w:p w14:paraId="3A3D0C70" w14:textId="77777777" w:rsidR="00F7717D" w:rsidRDefault="00F7717D" w:rsidP="00413A2D">
      <w:pPr>
        <w:spacing w:after="0" w:line="240" w:lineRule="auto"/>
        <w:jc w:val="both"/>
        <w:rPr>
          <w:rFonts w:ascii="Times New Roman" w:eastAsia="Times New Roman" w:hAnsi="Times New Roman" w:cs="Times New Roman"/>
          <w:noProof/>
          <w:sz w:val="24"/>
          <w:szCs w:val="24"/>
        </w:rPr>
      </w:pPr>
      <w:bookmarkStart w:id="46" w:name="p17"/>
      <w:bookmarkStart w:id="47" w:name="p-643797"/>
      <w:bookmarkEnd w:id="46"/>
      <w:bookmarkEnd w:id="47"/>
    </w:p>
    <w:p w14:paraId="72DEE85B" w14:textId="1A89F9B3"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This Regulation shall come into force on 1 January 2018.</w:t>
      </w:r>
    </w:p>
    <w:p w14:paraId="57ECAB68" w14:textId="77777777" w:rsidR="00F7717D" w:rsidRDefault="00F7717D" w:rsidP="00413A2D">
      <w:pPr>
        <w:spacing w:after="0" w:line="240" w:lineRule="auto"/>
        <w:jc w:val="both"/>
        <w:rPr>
          <w:rFonts w:ascii="Times New Roman" w:eastAsia="Times New Roman" w:hAnsi="Times New Roman" w:cs="Times New Roman"/>
          <w:noProof/>
          <w:sz w:val="24"/>
          <w:szCs w:val="24"/>
          <w:lang w:eastAsia="lv-LV"/>
        </w:rPr>
      </w:pPr>
    </w:p>
    <w:p w14:paraId="06770AC1" w14:textId="77777777" w:rsidR="00F7717D" w:rsidRDefault="00F7717D" w:rsidP="00413A2D">
      <w:pPr>
        <w:spacing w:after="0" w:line="240" w:lineRule="auto"/>
        <w:jc w:val="both"/>
        <w:rPr>
          <w:rFonts w:ascii="Times New Roman" w:eastAsia="Times New Roman" w:hAnsi="Times New Roman" w:cs="Times New Roman"/>
          <w:noProof/>
          <w:sz w:val="24"/>
          <w:szCs w:val="24"/>
          <w:lang w:eastAsia="lv-LV"/>
        </w:rPr>
      </w:pPr>
    </w:p>
    <w:p w14:paraId="3809FCAC" w14:textId="0F442F92" w:rsidR="00413A2D" w:rsidRPr="00F7717D" w:rsidRDefault="00552341" w:rsidP="001B459B">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1B459B">
        <w:rPr>
          <w:rFonts w:ascii="Times New Roman" w:hAnsi="Times New Roman"/>
          <w:sz w:val="24"/>
        </w:rPr>
        <w:tab/>
      </w:r>
      <w:r>
        <w:rPr>
          <w:rFonts w:ascii="Times New Roman" w:hAnsi="Times New Roman"/>
          <w:sz w:val="24"/>
        </w:rPr>
        <w:t>R. Irklis</w:t>
      </w:r>
    </w:p>
    <w:p w14:paraId="24C76619" w14:textId="632488B1" w:rsidR="00F7717D" w:rsidRDefault="00F7717D">
      <w:pPr>
        <w:rPr>
          <w:rFonts w:ascii="Times New Roman" w:eastAsia="Times New Roman" w:hAnsi="Times New Roman" w:cs="Times New Roman"/>
          <w:noProof/>
          <w:sz w:val="24"/>
          <w:szCs w:val="24"/>
        </w:rPr>
      </w:pPr>
      <w:r>
        <w:br w:type="page"/>
      </w:r>
    </w:p>
    <w:p w14:paraId="17318E15" w14:textId="77777777" w:rsidR="00F7717D" w:rsidRDefault="00F7717D" w:rsidP="00413A2D">
      <w:pPr>
        <w:spacing w:after="0" w:line="240" w:lineRule="auto"/>
        <w:jc w:val="both"/>
        <w:rPr>
          <w:rFonts w:ascii="Times New Roman" w:eastAsia="Times New Roman" w:hAnsi="Times New Roman" w:cs="Times New Roman"/>
          <w:noProof/>
          <w:sz w:val="24"/>
          <w:szCs w:val="24"/>
          <w:lang w:eastAsia="lv-LV"/>
        </w:rPr>
      </w:pPr>
    </w:p>
    <w:p w14:paraId="3617E071" w14:textId="10A4A3EE" w:rsidR="00413A2D" w:rsidRPr="00716A89" w:rsidRDefault="00552341" w:rsidP="00716A8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190031B" w14:textId="2A74FB59" w:rsidR="00552341" w:rsidRPr="005C11B1" w:rsidRDefault="00552341" w:rsidP="00716A8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1/42 of the Public Utilities Commission of 21 December 2017</w:t>
      </w:r>
      <w:bookmarkStart w:id="48" w:name="piel-783968"/>
      <w:bookmarkStart w:id="49" w:name="piel1"/>
      <w:bookmarkEnd w:id="48"/>
      <w:bookmarkEnd w:id="49"/>
    </w:p>
    <w:p w14:paraId="4CD3F634" w14:textId="77777777" w:rsidR="00552341" w:rsidRDefault="00552341" w:rsidP="00716A8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2019; 27 May 2021</w:t>
      </w:r>
      <w:r>
        <w:rPr>
          <w:rFonts w:ascii="Times New Roman" w:hAnsi="Times New Roman"/>
          <w:sz w:val="24"/>
        </w:rPr>
        <w:t>]</w:t>
      </w:r>
    </w:p>
    <w:p w14:paraId="4A5E4084" w14:textId="77777777" w:rsidR="00716A89" w:rsidRDefault="00716A89" w:rsidP="00413A2D">
      <w:pPr>
        <w:spacing w:after="0" w:line="240" w:lineRule="auto"/>
        <w:jc w:val="both"/>
        <w:rPr>
          <w:rFonts w:ascii="Times New Roman" w:eastAsia="Times New Roman" w:hAnsi="Times New Roman" w:cs="Times New Roman"/>
          <w:noProof/>
          <w:sz w:val="24"/>
          <w:szCs w:val="24"/>
          <w:lang w:eastAsia="lv-LV"/>
        </w:rPr>
      </w:pPr>
    </w:p>
    <w:p w14:paraId="078AD627" w14:textId="77777777" w:rsidR="00716A89" w:rsidRPr="005C11B1" w:rsidRDefault="00716A89" w:rsidP="00413A2D">
      <w:pPr>
        <w:spacing w:after="0" w:line="240" w:lineRule="auto"/>
        <w:jc w:val="both"/>
        <w:rPr>
          <w:rFonts w:ascii="Times New Roman" w:eastAsia="Times New Roman" w:hAnsi="Times New Roman" w:cs="Times New Roman"/>
          <w:noProof/>
          <w:sz w:val="24"/>
          <w:szCs w:val="24"/>
          <w:lang w:eastAsia="lv-LV"/>
        </w:rPr>
      </w:pPr>
    </w:p>
    <w:p w14:paraId="7A990918" w14:textId="77777777" w:rsidR="00552341" w:rsidRPr="00C278C1" w:rsidRDefault="00552341" w:rsidP="00C278C1">
      <w:pPr>
        <w:spacing w:after="0" w:line="240" w:lineRule="auto"/>
        <w:jc w:val="center"/>
        <w:rPr>
          <w:rFonts w:ascii="Times New Roman" w:eastAsia="Times New Roman" w:hAnsi="Times New Roman" w:cs="Times New Roman"/>
          <w:b/>
          <w:bCs/>
          <w:noProof/>
          <w:sz w:val="28"/>
          <w:szCs w:val="28"/>
        </w:rPr>
      </w:pPr>
      <w:bookmarkStart w:id="50" w:name="643800"/>
      <w:bookmarkStart w:id="51" w:name="n-643800"/>
      <w:bookmarkEnd w:id="50"/>
      <w:bookmarkEnd w:id="51"/>
      <w:r>
        <w:rPr>
          <w:rFonts w:ascii="Times New Roman" w:hAnsi="Times New Roman"/>
          <w:b/>
          <w:sz w:val="28"/>
        </w:rPr>
        <w:t>Calculation of the State Fee of the Provider of Public Utilities for the Regulation of Public Utilities for the Year__________</w:t>
      </w:r>
    </w:p>
    <w:p w14:paraId="4A109342" w14:textId="77777777" w:rsidR="00716A89" w:rsidRDefault="00716A89" w:rsidP="00413A2D">
      <w:pPr>
        <w:spacing w:after="0" w:line="240" w:lineRule="auto"/>
        <w:jc w:val="both"/>
        <w:rPr>
          <w:rFonts w:ascii="Times New Roman" w:eastAsia="Times New Roman" w:hAnsi="Times New Roman" w:cs="Times New Roman"/>
          <w:noProof/>
          <w:sz w:val="24"/>
          <w:szCs w:val="24"/>
          <w:lang w:eastAsia="lv-LV"/>
        </w:rPr>
      </w:pPr>
    </w:p>
    <w:p w14:paraId="60C291B8" w14:textId="77777777" w:rsidR="00716A89" w:rsidRPr="005C11B1" w:rsidRDefault="00716A89" w:rsidP="00413A2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86"/>
        <w:gridCol w:w="4669"/>
      </w:tblGrid>
      <w:tr w:rsidR="00552341" w:rsidRPr="0014579E" w14:paraId="61C6E25B" w14:textId="77777777" w:rsidTr="00E660E9">
        <w:tc>
          <w:tcPr>
            <w:tcW w:w="2422"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5BFEE69D"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the provider of public utilities</w:t>
            </w:r>
          </w:p>
        </w:tc>
        <w:tc>
          <w:tcPr>
            <w:tcW w:w="2578" w:type="pct"/>
            <w:tcBorders>
              <w:top w:val="outset" w:sz="6" w:space="0" w:color="auto"/>
              <w:left w:val="outset" w:sz="6" w:space="0" w:color="auto"/>
              <w:bottom w:val="outset" w:sz="6" w:space="0" w:color="auto"/>
              <w:right w:val="outset" w:sz="6" w:space="0" w:color="auto"/>
            </w:tcBorders>
            <w:vAlign w:val="center"/>
            <w:hideMark/>
          </w:tcPr>
          <w:p w14:paraId="5CE1E97A" w14:textId="708FB5E9"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AA7E101" w14:textId="77777777" w:rsidTr="00E660E9">
        <w:tc>
          <w:tcPr>
            <w:tcW w:w="2422"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5E6B29F"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Unified registration number</w:t>
            </w:r>
          </w:p>
        </w:tc>
        <w:tc>
          <w:tcPr>
            <w:tcW w:w="2578" w:type="pct"/>
            <w:tcBorders>
              <w:top w:val="outset" w:sz="6" w:space="0" w:color="auto"/>
              <w:left w:val="outset" w:sz="6" w:space="0" w:color="auto"/>
              <w:bottom w:val="outset" w:sz="6" w:space="0" w:color="auto"/>
              <w:right w:val="outset" w:sz="6" w:space="0" w:color="auto"/>
            </w:tcBorders>
            <w:vAlign w:val="center"/>
            <w:hideMark/>
          </w:tcPr>
          <w:p w14:paraId="1E5F5761" w14:textId="5442A1F5"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4C74351" w14:textId="77777777" w:rsidTr="00E660E9">
        <w:tc>
          <w:tcPr>
            <w:tcW w:w="2422"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56FC91E"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Restricted access information (mark as appropriate)</w:t>
            </w:r>
          </w:p>
        </w:tc>
        <w:tc>
          <w:tcPr>
            <w:tcW w:w="2578" w:type="pct"/>
            <w:tcBorders>
              <w:top w:val="outset" w:sz="6" w:space="0" w:color="auto"/>
              <w:left w:val="outset" w:sz="6" w:space="0" w:color="auto"/>
              <w:bottom w:val="outset" w:sz="6" w:space="0" w:color="auto"/>
              <w:right w:val="outset" w:sz="6" w:space="0" w:color="auto"/>
            </w:tcBorders>
            <w:vAlign w:val="center"/>
            <w:hideMark/>
          </w:tcPr>
          <w:p w14:paraId="4C835100"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8A8C78C" wp14:editId="3DFC27A4">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2341" w:rsidRPr="0014579E" w14:paraId="599BDC45" w14:textId="77777777" w:rsidTr="00E660E9">
        <w:tc>
          <w:tcPr>
            <w:tcW w:w="2422" w:type="pct"/>
            <w:tcBorders>
              <w:top w:val="outset" w:sz="6" w:space="0" w:color="auto"/>
              <w:left w:val="outset" w:sz="6" w:space="0" w:color="auto"/>
              <w:bottom w:val="single" w:sz="6" w:space="0" w:color="auto"/>
              <w:right w:val="outset" w:sz="6" w:space="0" w:color="auto"/>
            </w:tcBorders>
            <w:shd w:val="clear" w:color="auto" w:fill="C0C0C0"/>
            <w:vAlign w:val="center"/>
            <w:hideMark/>
          </w:tcPr>
          <w:p w14:paraId="4B6E5DDB"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Grounds of the provider of public utilities for determining the status of restricted access</w:t>
            </w:r>
          </w:p>
        </w:tc>
        <w:tc>
          <w:tcPr>
            <w:tcW w:w="2578" w:type="pct"/>
            <w:tcBorders>
              <w:top w:val="outset" w:sz="6" w:space="0" w:color="auto"/>
              <w:left w:val="outset" w:sz="6" w:space="0" w:color="auto"/>
              <w:bottom w:val="single" w:sz="6" w:space="0" w:color="auto"/>
              <w:right w:val="outset" w:sz="6" w:space="0" w:color="auto"/>
            </w:tcBorders>
            <w:vAlign w:val="center"/>
            <w:hideMark/>
          </w:tcPr>
          <w:p w14:paraId="641375D2" w14:textId="1B4C06A7"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5BB5BFB" w14:textId="77777777" w:rsidTr="00E660E9">
        <w:tc>
          <w:tcPr>
            <w:tcW w:w="2422" w:type="pct"/>
            <w:tcBorders>
              <w:top w:val="outset" w:sz="6" w:space="0" w:color="auto"/>
              <w:left w:val="nil"/>
              <w:bottom w:val="nil"/>
              <w:right w:val="nil"/>
            </w:tcBorders>
            <w:shd w:val="clear" w:color="auto" w:fill="FFFFFF"/>
            <w:vAlign w:val="center"/>
            <w:hideMark/>
          </w:tcPr>
          <w:p w14:paraId="4B5E1AE2" w14:textId="31D1ACB0"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2578" w:type="pct"/>
            <w:tcBorders>
              <w:top w:val="outset" w:sz="6" w:space="0" w:color="auto"/>
              <w:left w:val="nil"/>
              <w:bottom w:val="nil"/>
              <w:right w:val="nil"/>
            </w:tcBorders>
            <w:vAlign w:val="center"/>
            <w:hideMark/>
          </w:tcPr>
          <w:p w14:paraId="743A2571" w14:textId="53DAA5E4"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bl>
    <w:p w14:paraId="2FC496CF"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3"/>
        <w:gridCol w:w="2898"/>
        <w:gridCol w:w="543"/>
        <w:gridCol w:w="1811"/>
        <w:gridCol w:w="1630"/>
        <w:gridCol w:w="1630"/>
      </w:tblGrid>
      <w:tr w:rsidR="00552341" w:rsidRPr="0014579E" w14:paraId="66956456" w14:textId="77777777" w:rsidTr="00403B26">
        <w:tc>
          <w:tcPr>
            <w:tcW w:w="300" w:type="pct"/>
            <w:tcBorders>
              <w:top w:val="outset" w:sz="6" w:space="0" w:color="auto"/>
              <w:left w:val="outset" w:sz="6" w:space="0" w:color="auto"/>
              <w:bottom w:val="outset" w:sz="6" w:space="0" w:color="auto"/>
              <w:right w:val="outset" w:sz="6" w:space="0" w:color="auto"/>
            </w:tcBorders>
            <w:vAlign w:val="center"/>
            <w:hideMark/>
          </w:tcPr>
          <w:p w14:paraId="23DA48F6"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600" w:type="pct"/>
            <w:tcBorders>
              <w:top w:val="outset" w:sz="6" w:space="0" w:color="auto"/>
              <w:left w:val="outset" w:sz="6" w:space="0" w:color="auto"/>
              <w:bottom w:val="outset" w:sz="6" w:space="0" w:color="auto"/>
              <w:right w:val="outset" w:sz="6" w:space="0" w:color="auto"/>
            </w:tcBorders>
            <w:vAlign w:val="center"/>
            <w:hideMark/>
          </w:tcPr>
          <w:p w14:paraId="082DBCF8"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5DB72107"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900" w:type="pct"/>
            <w:tcBorders>
              <w:top w:val="outset" w:sz="6" w:space="0" w:color="auto"/>
              <w:left w:val="outset" w:sz="6" w:space="0" w:color="auto"/>
              <w:bottom w:val="outset" w:sz="6" w:space="0" w:color="auto"/>
              <w:right w:val="outset" w:sz="6" w:space="0" w:color="auto"/>
            </w:tcBorders>
            <w:vAlign w:val="center"/>
            <w:hideMark/>
          </w:tcPr>
          <w:p w14:paraId="557AE67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00" w:type="pct"/>
            <w:tcBorders>
              <w:top w:val="outset" w:sz="6" w:space="0" w:color="auto"/>
              <w:left w:val="outset" w:sz="6" w:space="0" w:color="auto"/>
              <w:bottom w:val="outset" w:sz="6" w:space="0" w:color="auto"/>
              <w:right w:val="outset" w:sz="6" w:space="0" w:color="auto"/>
            </w:tcBorders>
            <w:vAlign w:val="center"/>
            <w:hideMark/>
          </w:tcPr>
          <w:p w14:paraId="66E7D2F8"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552341" w:rsidRPr="0014579E" w14:paraId="6949D548" w14:textId="77777777" w:rsidTr="00403B26">
        <w:tc>
          <w:tcPr>
            <w:tcW w:w="300" w:type="pct"/>
            <w:vMerge w:val="restart"/>
            <w:tcBorders>
              <w:top w:val="outset" w:sz="6" w:space="0" w:color="auto"/>
              <w:left w:val="outset" w:sz="6" w:space="0" w:color="auto"/>
              <w:bottom w:val="outset" w:sz="6" w:space="0" w:color="auto"/>
              <w:right w:val="outset" w:sz="6" w:space="0" w:color="auto"/>
            </w:tcBorders>
            <w:hideMark/>
          </w:tcPr>
          <w:p w14:paraId="0C3714D5" w14:textId="061B0063"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14:paraId="3826DDD6" w14:textId="77777777" w:rsidR="00552341" w:rsidRPr="005C11B1" w:rsidRDefault="00552341" w:rsidP="00403B2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Type of public utility of a regulated sector</w:t>
            </w:r>
          </w:p>
        </w:tc>
        <w:tc>
          <w:tcPr>
            <w:tcW w:w="300" w:type="pct"/>
            <w:tcBorders>
              <w:top w:val="outset" w:sz="6" w:space="0" w:color="auto"/>
              <w:left w:val="outset" w:sz="6" w:space="0" w:color="auto"/>
              <w:bottom w:val="outset" w:sz="6" w:space="0" w:color="auto"/>
              <w:right w:val="outset" w:sz="6" w:space="0" w:color="auto"/>
            </w:tcBorders>
            <w:hideMark/>
          </w:tcPr>
          <w:p w14:paraId="461925E5" w14:textId="54EA804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000" w:type="pct"/>
            <w:tcBorders>
              <w:top w:val="outset" w:sz="6" w:space="0" w:color="auto"/>
              <w:left w:val="outset" w:sz="6" w:space="0" w:color="auto"/>
              <w:bottom w:val="outset" w:sz="6" w:space="0" w:color="auto"/>
              <w:right w:val="outset" w:sz="6" w:space="0" w:color="auto"/>
            </w:tcBorders>
            <w:hideMark/>
          </w:tcPr>
          <w:p w14:paraId="4DCFA326" w14:textId="77777777" w:rsidR="00552341" w:rsidRPr="005C11B1" w:rsidRDefault="00552341" w:rsidP="00403B2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Net turnover</w:t>
            </w:r>
          </w:p>
          <w:p w14:paraId="31B2C44B"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(mark as appropriate)</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14:paraId="322142C5"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Rate of</w:t>
            </w:r>
            <w:r>
              <w:rPr>
                <w:rFonts w:ascii="Times New Roman" w:hAnsi="Times New Roman"/>
                <w:sz w:val="24"/>
              </w:rPr>
              <w:t xml:space="preserve"> </w:t>
            </w:r>
            <w:r>
              <w:rPr>
                <w:rFonts w:ascii="Times New Roman" w:hAnsi="Times New Roman"/>
                <w:b/>
                <w:bCs/>
                <w:sz w:val="24"/>
              </w:rPr>
              <w:t>the State fee for the regulation of public utilities</w:t>
            </w:r>
            <w:r>
              <w:rPr>
                <w:rFonts w:ascii="Times New Roman" w:hAnsi="Times New Roman"/>
                <w:sz w:val="24"/>
              </w:rPr>
              <w:t xml:space="preserve"> (%)</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14:paraId="410B4B05"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Calculated State fee for the regulation of public utilities</w:t>
            </w:r>
            <w:r>
              <w:rPr>
                <w:rFonts w:ascii="Times New Roman" w:hAnsi="Times New Roman"/>
                <w:sz w:val="24"/>
              </w:rPr>
              <w:t xml:space="preserve"> (EUR)</w:t>
            </w:r>
          </w:p>
        </w:tc>
      </w:tr>
      <w:tr w:rsidR="00552341" w:rsidRPr="0014579E" w14:paraId="2DA6396E" w14:textId="77777777" w:rsidTr="00403B26">
        <w:tc>
          <w:tcPr>
            <w:tcW w:w="300" w:type="pct"/>
            <w:vMerge/>
            <w:tcBorders>
              <w:top w:val="outset" w:sz="6" w:space="0" w:color="auto"/>
              <w:left w:val="outset" w:sz="6" w:space="0" w:color="auto"/>
              <w:bottom w:val="outset" w:sz="6" w:space="0" w:color="auto"/>
              <w:right w:val="outset" w:sz="6" w:space="0" w:color="auto"/>
            </w:tcBorders>
            <w:vAlign w:val="center"/>
            <w:hideMark/>
          </w:tcPr>
          <w:p w14:paraId="50881C86"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600" w:type="pct"/>
            <w:vMerge/>
            <w:tcBorders>
              <w:top w:val="outset" w:sz="6" w:space="0" w:color="auto"/>
              <w:left w:val="outset" w:sz="6" w:space="0" w:color="auto"/>
              <w:bottom w:val="outset" w:sz="6" w:space="0" w:color="auto"/>
              <w:right w:val="outset" w:sz="6" w:space="0" w:color="auto"/>
            </w:tcBorders>
            <w:vAlign w:val="center"/>
            <w:hideMark/>
          </w:tcPr>
          <w:p w14:paraId="10BB13B4"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73EF9DC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D8999FE" wp14:editId="72E56FD3">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0" w:type="pct"/>
            <w:tcBorders>
              <w:top w:val="outset" w:sz="6" w:space="0" w:color="auto"/>
              <w:left w:val="outset" w:sz="6" w:space="0" w:color="auto"/>
              <w:bottom w:val="outset" w:sz="6" w:space="0" w:color="auto"/>
              <w:right w:val="outset" w:sz="6" w:space="0" w:color="auto"/>
            </w:tcBorders>
            <w:hideMark/>
          </w:tcPr>
          <w:p w14:paraId="4A83EC4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Planned net turnover in the </w:t>
            </w:r>
            <w:r>
              <w:rPr>
                <w:rFonts w:ascii="Times New Roman" w:hAnsi="Times New Roman"/>
                <w:b/>
                <w:bCs/>
                <w:sz w:val="24"/>
              </w:rPr>
              <w:t xml:space="preserve">first </w:t>
            </w:r>
            <w:r>
              <w:rPr>
                <w:rFonts w:ascii="Times New Roman" w:hAnsi="Times New Roman"/>
                <w:sz w:val="24"/>
              </w:rPr>
              <w:t>calendar year of operation</w:t>
            </w: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420B25E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40B9A97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r w:rsidR="00552341" w:rsidRPr="0014579E" w14:paraId="7E295343" w14:textId="77777777" w:rsidTr="00403B26">
        <w:tc>
          <w:tcPr>
            <w:tcW w:w="300" w:type="pct"/>
            <w:vMerge/>
            <w:tcBorders>
              <w:top w:val="outset" w:sz="6" w:space="0" w:color="auto"/>
              <w:left w:val="outset" w:sz="6" w:space="0" w:color="auto"/>
              <w:bottom w:val="outset" w:sz="6" w:space="0" w:color="auto"/>
              <w:right w:val="outset" w:sz="6" w:space="0" w:color="auto"/>
            </w:tcBorders>
            <w:vAlign w:val="center"/>
            <w:hideMark/>
          </w:tcPr>
          <w:p w14:paraId="5CF6019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600" w:type="pct"/>
            <w:vMerge/>
            <w:tcBorders>
              <w:top w:val="outset" w:sz="6" w:space="0" w:color="auto"/>
              <w:left w:val="outset" w:sz="6" w:space="0" w:color="auto"/>
              <w:bottom w:val="outset" w:sz="6" w:space="0" w:color="auto"/>
              <w:right w:val="outset" w:sz="6" w:space="0" w:color="auto"/>
            </w:tcBorders>
            <w:vAlign w:val="center"/>
            <w:hideMark/>
          </w:tcPr>
          <w:p w14:paraId="64A79C0D"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0D1A804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6FFE796" wp14:editId="0264621A">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0" w:type="pct"/>
            <w:tcBorders>
              <w:top w:val="outset" w:sz="6" w:space="0" w:color="auto"/>
              <w:left w:val="outset" w:sz="6" w:space="0" w:color="auto"/>
              <w:bottom w:val="outset" w:sz="6" w:space="0" w:color="auto"/>
              <w:right w:val="outset" w:sz="6" w:space="0" w:color="auto"/>
            </w:tcBorders>
            <w:hideMark/>
          </w:tcPr>
          <w:p w14:paraId="4CB810A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Actual net turnover in the </w:t>
            </w:r>
            <w:r>
              <w:rPr>
                <w:rFonts w:ascii="Times New Roman" w:hAnsi="Times New Roman"/>
                <w:b/>
                <w:bCs/>
                <w:sz w:val="24"/>
              </w:rPr>
              <w:t xml:space="preserve">first </w:t>
            </w:r>
            <w:r>
              <w:rPr>
                <w:rFonts w:ascii="Times New Roman" w:hAnsi="Times New Roman"/>
                <w:sz w:val="24"/>
              </w:rPr>
              <w:t>calendar year of operation</w:t>
            </w: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4C6420A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38465B4C"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r w:rsidR="00552341" w:rsidRPr="0014579E" w14:paraId="0D63AAC0" w14:textId="77777777" w:rsidTr="00403B26">
        <w:tc>
          <w:tcPr>
            <w:tcW w:w="300" w:type="pct"/>
            <w:vMerge/>
            <w:tcBorders>
              <w:top w:val="outset" w:sz="6" w:space="0" w:color="auto"/>
              <w:left w:val="outset" w:sz="6" w:space="0" w:color="auto"/>
              <w:bottom w:val="outset" w:sz="6" w:space="0" w:color="auto"/>
              <w:right w:val="outset" w:sz="6" w:space="0" w:color="auto"/>
            </w:tcBorders>
            <w:vAlign w:val="center"/>
            <w:hideMark/>
          </w:tcPr>
          <w:p w14:paraId="126C3DA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600" w:type="pct"/>
            <w:vMerge/>
            <w:tcBorders>
              <w:top w:val="outset" w:sz="6" w:space="0" w:color="auto"/>
              <w:left w:val="outset" w:sz="6" w:space="0" w:color="auto"/>
              <w:bottom w:val="outset" w:sz="6" w:space="0" w:color="auto"/>
              <w:right w:val="outset" w:sz="6" w:space="0" w:color="auto"/>
            </w:tcBorders>
            <w:vAlign w:val="center"/>
            <w:hideMark/>
          </w:tcPr>
          <w:p w14:paraId="5D871E4A"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23A1F42C"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014358B" wp14:editId="0256F4E3">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0" w:type="pct"/>
            <w:tcBorders>
              <w:top w:val="outset" w:sz="6" w:space="0" w:color="auto"/>
              <w:left w:val="outset" w:sz="6" w:space="0" w:color="auto"/>
              <w:bottom w:val="outset" w:sz="6" w:space="0" w:color="auto"/>
              <w:right w:val="outset" w:sz="6" w:space="0" w:color="auto"/>
            </w:tcBorders>
            <w:hideMark/>
          </w:tcPr>
          <w:p w14:paraId="1720F60E"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Actual net turnover in the </w:t>
            </w:r>
            <w:r>
              <w:rPr>
                <w:rFonts w:ascii="Times New Roman" w:hAnsi="Times New Roman"/>
                <w:b/>
                <w:bCs/>
                <w:sz w:val="24"/>
              </w:rPr>
              <w:t xml:space="preserve">year before that </w:t>
            </w:r>
            <w:r>
              <w:rPr>
                <w:rFonts w:ascii="Times New Roman" w:hAnsi="Times New Roman"/>
                <w:sz w:val="24"/>
              </w:rPr>
              <w:t>calendar year</w:t>
            </w: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668C482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vMerge/>
            <w:tcBorders>
              <w:top w:val="outset" w:sz="6" w:space="0" w:color="auto"/>
              <w:left w:val="outset" w:sz="6" w:space="0" w:color="auto"/>
              <w:bottom w:val="outset" w:sz="6" w:space="0" w:color="auto"/>
              <w:right w:val="outset" w:sz="6" w:space="0" w:color="auto"/>
            </w:tcBorders>
            <w:vAlign w:val="center"/>
            <w:hideMark/>
          </w:tcPr>
          <w:p w14:paraId="2EB914E7"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r w:rsidR="00552341" w:rsidRPr="0014579E" w14:paraId="03819B22"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39A508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120F4D04"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Electricity supply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700A585C" w14:textId="00FA6B29"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57ECAD51"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2DC1EBD8" w14:textId="4348D58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39846E9"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1E291CC7"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600" w:type="pct"/>
            <w:tcBorders>
              <w:top w:val="outset" w:sz="6" w:space="0" w:color="auto"/>
              <w:left w:val="outset" w:sz="6" w:space="0" w:color="auto"/>
              <w:bottom w:val="outset" w:sz="6" w:space="0" w:color="auto"/>
              <w:right w:val="outset" w:sz="6" w:space="0" w:color="auto"/>
            </w:tcBorders>
            <w:hideMark/>
          </w:tcPr>
          <w:p w14:paraId="2A41C554"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 of electricity in generating installations, the installed electric capacity of which is more than one megawatt</w:t>
            </w:r>
          </w:p>
        </w:tc>
        <w:tc>
          <w:tcPr>
            <w:tcW w:w="1300" w:type="pct"/>
            <w:gridSpan w:val="2"/>
            <w:tcBorders>
              <w:top w:val="outset" w:sz="6" w:space="0" w:color="auto"/>
              <w:left w:val="outset" w:sz="6" w:space="0" w:color="auto"/>
              <w:bottom w:val="outset" w:sz="6" w:space="0" w:color="auto"/>
              <w:right w:val="outset" w:sz="6" w:space="0" w:color="auto"/>
            </w:tcBorders>
          </w:tcPr>
          <w:p w14:paraId="383BE27C" w14:textId="21EDB38D"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6C6C8703"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1A84615F" w14:textId="5C336CEF"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C468654"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63E54AD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600" w:type="pct"/>
            <w:tcBorders>
              <w:top w:val="outset" w:sz="6" w:space="0" w:color="auto"/>
              <w:left w:val="outset" w:sz="6" w:space="0" w:color="auto"/>
              <w:bottom w:val="outset" w:sz="6" w:space="0" w:color="auto"/>
              <w:right w:val="outset" w:sz="6" w:space="0" w:color="auto"/>
            </w:tcBorders>
            <w:hideMark/>
          </w:tcPr>
          <w:p w14:paraId="6E74C6A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 of electricity in cogeneration where the total installed electric capacity of cogeneration equipment in the cogeneration plant is greater than one megawatt</w:t>
            </w:r>
          </w:p>
        </w:tc>
        <w:tc>
          <w:tcPr>
            <w:tcW w:w="1300" w:type="pct"/>
            <w:gridSpan w:val="2"/>
            <w:tcBorders>
              <w:top w:val="outset" w:sz="6" w:space="0" w:color="auto"/>
              <w:left w:val="outset" w:sz="6" w:space="0" w:color="auto"/>
              <w:bottom w:val="outset" w:sz="6" w:space="0" w:color="auto"/>
              <w:right w:val="outset" w:sz="6" w:space="0" w:color="auto"/>
            </w:tcBorders>
          </w:tcPr>
          <w:p w14:paraId="10F72AB4" w14:textId="370DEFC8"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752DEA11"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7D799498" w14:textId="3BE6FA12"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C963E99"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789C08C6"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w:t>
            </w:r>
          </w:p>
        </w:tc>
        <w:tc>
          <w:tcPr>
            <w:tcW w:w="1600" w:type="pct"/>
            <w:tcBorders>
              <w:top w:val="outset" w:sz="6" w:space="0" w:color="auto"/>
              <w:left w:val="outset" w:sz="6" w:space="0" w:color="auto"/>
              <w:bottom w:val="outset" w:sz="6" w:space="0" w:color="auto"/>
              <w:right w:val="outset" w:sz="6" w:space="0" w:color="auto"/>
            </w:tcBorders>
            <w:hideMark/>
          </w:tcPr>
          <w:p w14:paraId="15097FF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electricity transmission if the voltage is 110 kilovolts and higher</w:t>
            </w:r>
          </w:p>
        </w:tc>
        <w:tc>
          <w:tcPr>
            <w:tcW w:w="1300" w:type="pct"/>
            <w:gridSpan w:val="2"/>
            <w:tcBorders>
              <w:top w:val="outset" w:sz="6" w:space="0" w:color="auto"/>
              <w:left w:val="outset" w:sz="6" w:space="0" w:color="auto"/>
              <w:bottom w:val="outset" w:sz="6" w:space="0" w:color="auto"/>
              <w:right w:val="outset" w:sz="6" w:space="0" w:color="auto"/>
            </w:tcBorders>
          </w:tcPr>
          <w:p w14:paraId="287F70F7" w14:textId="2CB49C8B"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3C1D70B9"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07A3D80" w14:textId="271457F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4C13C72"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2AEC7163"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600" w:type="pct"/>
            <w:tcBorders>
              <w:top w:val="outset" w:sz="6" w:space="0" w:color="auto"/>
              <w:left w:val="outset" w:sz="6" w:space="0" w:color="auto"/>
              <w:bottom w:val="outset" w:sz="6" w:space="0" w:color="auto"/>
              <w:right w:val="outset" w:sz="6" w:space="0" w:color="auto"/>
            </w:tcBorders>
            <w:hideMark/>
          </w:tcPr>
          <w:p w14:paraId="4BC6BBE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electricity distribution if the voltage is higher than one kilovolt and does not exceed 110 kilovolts</w:t>
            </w:r>
          </w:p>
        </w:tc>
        <w:tc>
          <w:tcPr>
            <w:tcW w:w="1300" w:type="pct"/>
            <w:gridSpan w:val="2"/>
            <w:tcBorders>
              <w:top w:val="outset" w:sz="6" w:space="0" w:color="auto"/>
              <w:left w:val="outset" w:sz="6" w:space="0" w:color="auto"/>
              <w:bottom w:val="outset" w:sz="6" w:space="0" w:color="auto"/>
              <w:right w:val="outset" w:sz="6" w:space="0" w:color="auto"/>
            </w:tcBorders>
          </w:tcPr>
          <w:p w14:paraId="22237E10" w14:textId="27E64A3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6A7E9EE"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32C61931" w14:textId="527E4C08"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987C7FF"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3438E4D7"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600" w:type="pct"/>
            <w:tcBorders>
              <w:top w:val="outset" w:sz="6" w:space="0" w:color="auto"/>
              <w:left w:val="outset" w:sz="6" w:space="0" w:color="auto"/>
              <w:bottom w:val="outset" w:sz="6" w:space="0" w:color="auto"/>
              <w:right w:val="outset" w:sz="6" w:space="0" w:color="auto"/>
            </w:tcBorders>
            <w:hideMark/>
          </w:tcPr>
          <w:p w14:paraId="05AFD6A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 of electricity to any energy users</w:t>
            </w:r>
          </w:p>
        </w:tc>
        <w:tc>
          <w:tcPr>
            <w:tcW w:w="1300" w:type="pct"/>
            <w:gridSpan w:val="2"/>
            <w:tcBorders>
              <w:top w:val="outset" w:sz="6" w:space="0" w:color="auto"/>
              <w:left w:val="outset" w:sz="6" w:space="0" w:color="auto"/>
              <w:bottom w:val="outset" w:sz="6" w:space="0" w:color="auto"/>
              <w:right w:val="outset" w:sz="6" w:space="0" w:color="auto"/>
            </w:tcBorders>
          </w:tcPr>
          <w:p w14:paraId="45CAE0F8" w14:textId="48BA62B8"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13256030"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1BE7DFF7" w14:textId="5237B17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1D263D7"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59103D2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600" w:type="pct"/>
            <w:tcBorders>
              <w:top w:val="outset" w:sz="6" w:space="0" w:color="auto"/>
              <w:left w:val="outset" w:sz="6" w:space="0" w:color="auto"/>
              <w:bottom w:val="outset" w:sz="6" w:space="0" w:color="auto"/>
              <w:right w:val="outset" w:sz="6" w:space="0" w:color="auto"/>
            </w:tcBorders>
            <w:hideMark/>
          </w:tcPr>
          <w:p w14:paraId="5F05FD5E"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demand reactions in the utility</w:t>
            </w:r>
          </w:p>
        </w:tc>
        <w:tc>
          <w:tcPr>
            <w:tcW w:w="1300" w:type="pct"/>
            <w:gridSpan w:val="2"/>
            <w:tcBorders>
              <w:top w:val="outset" w:sz="6" w:space="0" w:color="auto"/>
              <w:left w:val="outset" w:sz="6" w:space="0" w:color="auto"/>
              <w:bottom w:val="outset" w:sz="6" w:space="0" w:color="auto"/>
              <w:right w:val="outset" w:sz="6" w:space="0" w:color="auto"/>
            </w:tcBorders>
          </w:tcPr>
          <w:p w14:paraId="03D5EBF3" w14:textId="316A09E8"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0C972DD"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B485ADC" w14:textId="3D9EEA0F"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5C37947D"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F4D189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3BB5C28F"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Supply of thermal energy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46F5B008" w14:textId="4C0AD3AF"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5A6EF2B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6D61CE63" w14:textId="14860929"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A45DA8A"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5B48683C"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600" w:type="pct"/>
            <w:tcBorders>
              <w:top w:val="outset" w:sz="6" w:space="0" w:color="auto"/>
              <w:left w:val="outset" w:sz="6" w:space="0" w:color="auto"/>
              <w:bottom w:val="outset" w:sz="6" w:space="0" w:color="auto"/>
              <w:right w:val="outset" w:sz="6" w:space="0" w:color="auto"/>
            </w:tcBorders>
            <w:hideMark/>
          </w:tcPr>
          <w:p w14:paraId="03D3A41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production of thermal energy (including cogeneration) in installations with a total installed thermal capacity, which is greater than one megawatt, if the amount of thermal energy transferred to the centralised thermal energy system exceeds 5 000 megawatt hours per year</w:t>
            </w:r>
          </w:p>
        </w:tc>
        <w:tc>
          <w:tcPr>
            <w:tcW w:w="1300" w:type="pct"/>
            <w:gridSpan w:val="2"/>
            <w:tcBorders>
              <w:top w:val="outset" w:sz="6" w:space="0" w:color="auto"/>
              <w:left w:val="outset" w:sz="6" w:space="0" w:color="auto"/>
              <w:bottom w:val="outset" w:sz="6" w:space="0" w:color="auto"/>
              <w:right w:val="outset" w:sz="6" w:space="0" w:color="auto"/>
            </w:tcBorders>
          </w:tcPr>
          <w:p w14:paraId="69499A41" w14:textId="5667C893"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7AFA267"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37F62DBF" w14:textId="751A16D9"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C35D86D"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64DDDE63"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600" w:type="pct"/>
            <w:tcBorders>
              <w:top w:val="outset" w:sz="6" w:space="0" w:color="auto"/>
              <w:left w:val="outset" w:sz="6" w:space="0" w:color="auto"/>
              <w:bottom w:val="outset" w:sz="6" w:space="0" w:color="auto"/>
              <w:right w:val="outset" w:sz="6" w:space="0" w:color="auto"/>
            </w:tcBorders>
            <w:hideMark/>
          </w:tcPr>
          <w:p w14:paraId="2EA9585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transmission and distribution of thermal energy to end-users if there are household users among them and if the total amount of transmitted and distributed thermal energy exceeds 5 000 megawatt hours per year, except where the thermal energy produced by the autonomous producer or independent producer is supplied to the thermal networks of the regulated heating systems operator</w:t>
            </w:r>
          </w:p>
        </w:tc>
        <w:tc>
          <w:tcPr>
            <w:tcW w:w="1300" w:type="pct"/>
            <w:gridSpan w:val="2"/>
            <w:tcBorders>
              <w:top w:val="outset" w:sz="6" w:space="0" w:color="auto"/>
              <w:left w:val="outset" w:sz="6" w:space="0" w:color="auto"/>
              <w:bottom w:val="outset" w:sz="6" w:space="0" w:color="auto"/>
              <w:right w:val="outset" w:sz="6" w:space="0" w:color="auto"/>
            </w:tcBorders>
          </w:tcPr>
          <w:p w14:paraId="31AF4D1D" w14:textId="66868DB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D2E11E6"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B717F84" w14:textId="04EB827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5ABD88A"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28BC8F8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600" w:type="pct"/>
            <w:tcBorders>
              <w:top w:val="outset" w:sz="6" w:space="0" w:color="auto"/>
              <w:left w:val="outset" w:sz="6" w:space="0" w:color="auto"/>
              <w:bottom w:val="outset" w:sz="6" w:space="0" w:color="auto"/>
              <w:right w:val="outset" w:sz="6" w:space="0" w:color="auto"/>
            </w:tcBorders>
            <w:hideMark/>
          </w:tcPr>
          <w:p w14:paraId="64DB4E9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trade of thermal energy to energy users if the traded thermal energy is supplied by the thermal networks of the regulated heating systems operator</w:t>
            </w:r>
          </w:p>
        </w:tc>
        <w:tc>
          <w:tcPr>
            <w:tcW w:w="1300" w:type="pct"/>
            <w:gridSpan w:val="2"/>
            <w:tcBorders>
              <w:top w:val="outset" w:sz="6" w:space="0" w:color="auto"/>
              <w:left w:val="outset" w:sz="6" w:space="0" w:color="auto"/>
              <w:bottom w:val="outset" w:sz="6" w:space="0" w:color="auto"/>
              <w:right w:val="outset" w:sz="6" w:space="0" w:color="auto"/>
            </w:tcBorders>
          </w:tcPr>
          <w:p w14:paraId="4C63C0B0" w14:textId="52F8596F"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9E4101B"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2D4AB26D" w14:textId="59F7C30D"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C7D4254"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C9EF0E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088CFF21"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Supply of natural gas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2424385B" w14:textId="1C8BE5FF"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1C92CAB6"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46775ED1" w14:textId="1102A4B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6A0A492"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1C66788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600" w:type="pct"/>
            <w:tcBorders>
              <w:top w:val="outset" w:sz="6" w:space="0" w:color="auto"/>
              <w:left w:val="outset" w:sz="6" w:space="0" w:color="auto"/>
              <w:bottom w:val="outset" w:sz="6" w:space="0" w:color="auto"/>
              <w:right w:val="outset" w:sz="6" w:space="0" w:color="auto"/>
            </w:tcBorders>
            <w:hideMark/>
          </w:tcPr>
          <w:p w14:paraId="222A3E4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transmission of natural gas through pipelines</w:t>
            </w:r>
          </w:p>
        </w:tc>
        <w:tc>
          <w:tcPr>
            <w:tcW w:w="1300" w:type="pct"/>
            <w:gridSpan w:val="2"/>
            <w:tcBorders>
              <w:top w:val="outset" w:sz="6" w:space="0" w:color="auto"/>
              <w:left w:val="outset" w:sz="6" w:space="0" w:color="auto"/>
              <w:bottom w:val="outset" w:sz="6" w:space="0" w:color="auto"/>
              <w:right w:val="outset" w:sz="6" w:space="0" w:color="auto"/>
            </w:tcBorders>
          </w:tcPr>
          <w:p w14:paraId="49A46AA8" w14:textId="3E0325F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39C9DB3"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6A5AC0BB" w14:textId="2D74BB0C"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12618C9F"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BD63853"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w:t>
            </w:r>
          </w:p>
        </w:tc>
        <w:tc>
          <w:tcPr>
            <w:tcW w:w="1600" w:type="pct"/>
            <w:tcBorders>
              <w:top w:val="outset" w:sz="6" w:space="0" w:color="auto"/>
              <w:left w:val="outset" w:sz="6" w:space="0" w:color="auto"/>
              <w:bottom w:val="outset" w:sz="6" w:space="0" w:color="auto"/>
              <w:right w:val="outset" w:sz="6" w:space="0" w:color="auto"/>
            </w:tcBorders>
            <w:hideMark/>
          </w:tcPr>
          <w:p w14:paraId="743BA656"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storage of natural gas intended for trade in containers or storage sites</w:t>
            </w:r>
          </w:p>
        </w:tc>
        <w:tc>
          <w:tcPr>
            <w:tcW w:w="1300" w:type="pct"/>
            <w:gridSpan w:val="2"/>
            <w:tcBorders>
              <w:top w:val="outset" w:sz="6" w:space="0" w:color="auto"/>
              <w:left w:val="outset" w:sz="6" w:space="0" w:color="auto"/>
              <w:bottom w:val="outset" w:sz="6" w:space="0" w:color="auto"/>
              <w:right w:val="outset" w:sz="6" w:space="0" w:color="auto"/>
            </w:tcBorders>
          </w:tcPr>
          <w:p w14:paraId="2F691772" w14:textId="19D4C675"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6DB540F6"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D8A0152" w14:textId="72387D4B"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C7B60A1"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35C5D7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600" w:type="pct"/>
            <w:tcBorders>
              <w:top w:val="outset" w:sz="6" w:space="0" w:color="auto"/>
              <w:left w:val="outset" w:sz="6" w:space="0" w:color="auto"/>
              <w:bottom w:val="outset" w:sz="6" w:space="0" w:color="auto"/>
              <w:right w:val="outset" w:sz="6" w:space="0" w:color="auto"/>
            </w:tcBorders>
            <w:hideMark/>
          </w:tcPr>
          <w:p w14:paraId="497A96C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distribution of natural gas</w:t>
            </w:r>
          </w:p>
        </w:tc>
        <w:tc>
          <w:tcPr>
            <w:tcW w:w="1300" w:type="pct"/>
            <w:gridSpan w:val="2"/>
            <w:tcBorders>
              <w:top w:val="outset" w:sz="6" w:space="0" w:color="auto"/>
              <w:left w:val="outset" w:sz="6" w:space="0" w:color="auto"/>
              <w:bottom w:val="outset" w:sz="6" w:space="0" w:color="auto"/>
              <w:right w:val="outset" w:sz="6" w:space="0" w:color="auto"/>
            </w:tcBorders>
          </w:tcPr>
          <w:p w14:paraId="7EF7A72F" w14:textId="12CE39CB"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7DD5B42D"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A6E172A" w14:textId="7C2BA073"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6E899D0"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6436C71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600" w:type="pct"/>
            <w:tcBorders>
              <w:top w:val="outset" w:sz="6" w:space="0" w:color="auto"/>
              <w:left w:val="outset" w:sz="6" w:space="0" w:color="auto"/>
              <w:bottom w:val="outset" w:sz="6" w:space="0" w:color="auto"/>
              <w:right w:val="outset" w:sz="6" w:space="0" w:color="auto"/>
            </w:tcBorders>
            <w:hideMark/>
          </w:tcPr>
          <w:p w14:paraId="247FDB6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trade of natural gas to any energy users, except the trade of natural gas in gas filling compression stations for vehicles</w:t>
            </w:r>
          </w:p>
        </w:tc>
        <w:tc>
          <w:tcPr>
            <w:tcW w:w="1300" w:type="pct"/>
            <w:gridSpan w:val="2"/>
            <w:tcBorders>
              <w:top w:val="outset" w:sz="6" w:space="0" w:color="auto"/>
              <w:left w:val="outset" w:sz="6" w:space="0" w:color="auto"/>
              <w:bottom w:val="outset" w:sz="6" w:space="0" w:color="auto"/>
              <w:right w:val="outset" w:sz="6" w:space="0" w:color="auto"/>
            </w:tcBorders>
          </w:tcPr>
          <w:p w14:paraId="5811AEED" w14:textId="0C8BD892"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39709B21"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2FFC2372" w14:textId="30B765DF"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BF07AF4"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5461B2C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600" w:type="pct"/>
            <w:tcBorders>
              <w:top w:val="outset" w:sz="6" w:space="0" w:color="auto"/>
              <w:left w:val="outset" w:sz="6" w:space="0" w:color="auto"/>
              <w:bottom w:val="outset" w:sz="6" w:space="0" w:color="auto"/>
              <w:right w:val="outset" w:sz="6" w:space="0" w:color="auto"/>
            </w:tcBorders>
            <w:hideMark/>
          </w:tcPr>
          <w:p w14:paraId="4313690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distillation of natural gas or the receipt, unloading, storage and conversion of liquefied natural gas to a gaseous state for subsequent supply to the natural gas transmission system</w:t>
            </w:r>
          </w:p>
        </w:tc>
        <w:tc>
          <w:tcPr>
            <w:tcW w:w="1300" w:type="pct"/>
            <w:gridSpan w:val="2"/>
            <w:tcBorders>
              <w:top w:val="outset" w:sz="6" w:space="0" w:color="auto"/>
              <w:left w:val="outset" w:sz="6" w:space="0" w:color="auto"/>
              <w:bottom w:val="outset" w:sz="6" w:space="0" w:color="auto"/>
              <w:right w:val="outset" w:sz="6" w:space="0" w:color="auto"/>
            </w:tcBorders>
          </w:tcPr>
          <w:p w14:paraId="5AB24136" w14:textId="6C0018E0"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037C898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BB438B6" w14:textId="06CBECDD"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14FB539"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3A9BE8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61FE28DD"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 the electronic communications sector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6E72837E" w14:textId="5AC74049"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3A2B777A"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30936328" w14:textId="584A8D63"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A2C829D"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09E80E5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600" w:type="pct"/>
            <w:tcBorders>
              <w:top w:val="outset" w:sz="6" w:space="0" w:color="auto"/>
              <w:left w:val="outset" w:sz="6" w:space="0" w:color="auto"/>
              <w:bottom w:val="outset" w:sz="6" w:space="0" w:color="auto"/>
              <w:right w:val="outset" w:sz="6" w:space="0" w:color="auto"/>
            </w:tcBorders>
            <w:hideMark/>
          </w:tcPr>
          <w:p w14:paraId="267A25A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voice telephony services</w:t>
            </w:r>
          </w:p>
        </w:tc>
        <w:tc>
          <w:tcPr>
            <w:tcW w:w="1300" w:type="pct"/>
            <w:gridSpan w:val="2"/>
            <w:tcBorders>
              <w:top w:val="outset" w:sz="6" w:space="0" w:color="auto"/>
              <w:left w:val="outset" w:sz="6" w:space="0" w:color="auto"/>
              <w:bottom w:val="outset" w:sz="6" w:space="0" w:color="auto"/>
              <w:right w:val="outset" w:sz="6" w:space="0" w:color="auto"/>
            </w:tcBorders>
          </w:tcPr>
          <w:p w14:paraId="370229B1" w14:textId="28FA148D"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6906387A"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2EB17D9B" w14:textId="3F1EE429"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1582EC3C"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89BC30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600" w:type="pct"/>
            <w:tcBorders>
              <w:top w:val="outset" w:sz="6" w:space="0" w:color="auto"/>
              <w:left w:val="outset" w:sz="6" w:space="0" w:color="auto"/>
              <w:bottom w:val="outset" w:sz="6" w:space="0" w:color="auto"/>
              <w:right w:val="outset" w:sz="6" w:space="0" w:color="auto"/>
            </w:tcBorders>
            <w:hideMark/>
          </w:tcPr>
          <w:p w14:paraId="1A960FB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public payphone services</w:t>
            </w:r>
          </w:p>
        </w:tc>
        <w:tc>
          <w:tcPr>
            <w:tcW w:w="1300" w:type="pct"/>
            <w:gridSpan w:val="2"/>
            <w:tcBorders>
              <w:top w:val="outset" w:sz="6" w:space="0" w:color="auto"/>
              <w:left w:val="outset" w:sz="6" w:space="0" w:color="auto"/>
              <w:bottom w:val="outset" w:sz="6" w:space="0" w:color="auto"/>
              <w:right w:val="outset" w:sz="6" w:space="0" w:color="auto"/>
            </w:tcBorders>
          </w:tcPr>
          <w:p w14:paraId="09E63C26" w14:textId="1CF32B82"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609E2EA8"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2F70CD5B" w14:textId="1F23C087"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07117C8"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5AAD7AE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600" w:type="pct"/>
            <w:tcBorders>
              <w:top w:val="outset" w:sz="6" w:space="0" w:color="auto"/>
              <w:left w:val="outset" w:sz="6" w:space="0" w:color="auto"/>
              <w:bottom w:val="outset" w:sz="6" w:space="0" w:color="auto"/>
              <w:right w:val="outset" w:sz="6" w:space="0" w:color="auto"/>
            </w:tcBorders>
            <w:hideMark/>
          </w:tcPr>
          <w:p w14:paraId="4C51109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public transmission service of data and electronic messages</w:t>
            </w:r>
          </w:p>
        </w:tc>
        <w:tc>
          <w:tcPr>
            <w:tcW w:w="1300" w:type="pct"/>
            <w:gridSpan w:val="2"/>
            <w:tcBorders>
              <w:top w:val="outset" w:sz="6" w:space="0" w:color="auto"/>
              <w:left w:val="outset" w:sz="6" w:space="0" w:color="auto"/>
              <w:bottom w:val="outset" w:sz="6" w:space="0" w:color="auto"/>
              <w:right w:val="outset" w:sz="6" w:space="0" w:color="auto"/>
            </w:tcBorders>
          </w:tcPr>
          <w:p w14:paraId="5CF54EEF" w14:textId="37D8DC3D"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9E212DF"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0FACC02" w14:textId="399DC765"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21C0B74"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7DAA303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600" w:type="pct"/>
            <w:tcBorders>
              <w:top w:val="outset" w:sz="6" w:space="0" w:color="auto"/>
              <w:left w:val="outset" w:sz="6" w:space="0" w:color="auto"/>
              <w:bottom w:val="outset" w:sz="6" w:space="0" w:color="auto"/>
              <w:right w:val="outset" w:sz="6" w:space="0" w:color="auto"/>
            </w:tcBorders>
            <w:hideMark/>
          </w:tcPr>
          <w:p w14:paraId="0507B9A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leased line services</w:t>
            </w:r>
          </w:p>
        </w:tc>
        <w:tc>
          <w:tcPr>
            <w:tcW w:w="1300" w:type="pct"/>
            <w:gridSpan w:val="2"/>
            <w:tcBorders>
              <w:top w:val="outset" w:sz="6" w:space="0" w:color="auto"/>
              <w:left w:val="outset" w:sz="6" w:space="0" w:color="auto"/>
              <w:bottom w:val="outset" w:sz="6" w:space="0" w:color="auto"/>
              <w:right w:val="outset" w:sz="6" w:space="0" w:color="auto"/>
            </w:tcBorders>
          </w:tcPr>
          <w:p w14:paraId="146A28D7" w14:textId="1585EAF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47AD8C88"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67F521BC" w14:textId="74F74B0D"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64A17E2"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8F0390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600" w:type="pct"/>
            <w:tcBorders>
              <w:top w:val="outset" w:sz="6" w:space="0" w:color="auto"/>
              <w:left w:val="outset" w:sz="6" w:space="0" w:color="auto"/>
              <w:bottom w:val="outset" w:sz="6" w:space="0" w:color="auto"/>
              <w:right w:val="outset" w:sz="6" w:space="0" w:color="auto"/>
            </w:tcBorders>
            <w:hideMark/>
          </w:tcPr>
          <w:p w14:paraId="42C8C438"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public Internet access services</w:t>
            </w:r>
          </w:p>
        </w:tc>
        <w:tc>
          <w:tcPr>
            <w:tcW w:w="1300" w:type="pct"/>
            <w:gridSpan w:val="2"/>
            <w:tcBorders>
              <w:top w:val="outset" w:sz="6" w:space="0" w:color="auto"/>
              <w:left w:val="outset" w:sz="6" w:space="0" w:color="auto"/>
              <w:bottom w:val="outset" w:sz="6" w:space="0" w:color="auto"/>
              <w:right w:val="outset" w:sz="6" w:space="0" w:color="auto"/>
            </w:tcBorders>
          </w:tcPr>
          <w:p w14:paraId="2B1C69CB" w14:textId="4D9431FD"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7C13553A"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CB99306" w14:textId="4E07180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88DFC43"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2383169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600" w:type="pct"/>
            <w:tcBorders>
              <w:top w:val="outset" w:sz="6" w:space="0" w:color="auto"/>
              <w:left w:val="outset" w:sz="6" w:space="0" w:color="auto"/>
              <w:bottom w:val="outset" w:sz="6" w:space="0" w:color="auto"/>
              <w:right w:val="outset" w:sz="6" w:space="0" w:color="auto"/>
            </w:tcBorders>
            <w:hideMark/>
          </w:tcPr>
          <w:p w14:paraId="770752E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distribution services of radio or television programmes in public electronic communication networks</w:t>
            </w:r>
          </w:p>
        </w:tc>
        <w:tc>
          <w:tcPr>
            <w:tcW w:w="1300" w:type="pct"/>
            <w:gridSpan w:val="2"/>
            <w:tcBorders>
              <w:top w:val="outset" w:sz="6" w:space="0" w:color="auto"/>
              <w:left w:val="outset" w:sz="6" w:space="0" w:color="auto"/>
              <w:bottom w:val="outset" w:sz="6" w:space="0" w:color="auto"/>
              <w:right w:val="outset" w:sz="6" w:space="0" w:color="auto"/>
            </w:tcBorders>
          </w:tcPr>
          <w:p w14:paraId="6F039DBD" w14:textId="494EA774"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78C73C6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E64B55A" w14:textId="01308F98"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197E6C68"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0A13638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600" w:type="pct"/>
            <w:tcBorders>
              <w:top w:val="outset" w:sz="6" w:space="0" w:color="auto"/>
              <w:left w:val="outset" w:sz="6" w:space="0" w:color="auto"/>
              <w:bottom w:val="outset" w:sz="6" w:space="0" w:color="auto"/>
              <w:right w:val="outset" w:sz="6" w:space="0" w:color="auto"/>
            </w:tcBorders>
            <w:hideMark/>
          </w:tcPr>
          <w:p w14:paraId="24DD9C3E"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access services</w:t>
            </w:r>
          </w:p>
        </w:tc>
        <w:tc>
          <w:tcPr>
            <w:tcW w:w="1300" w:type="pct"/>
            <w:gridSpan w:val="2"/>
            <w:tcBorders>
              <w:top w:val="outset" w:sz="6" w:space="0" w:color="auto"/>
              <w:left w:val="outset" w:sz="6" w:space="0" w:color="auto"/>
              <w:bottom w:val="outset" w:sz="6" w:space="0" w:color="auto"/>
              <w:right w:val="outset" w:sz="6" w:space="0" w:color="auto"/>
            </w:tcBorders>
          </w:tcPr>
          <w:p w14:paraId="64BFAF78" w14:textId="697AE03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8BB6A3C"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38E738E5" w14:textId="3F017AA8"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451A562"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221182A3"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600" w:type="pct"/>
            <w:tcBorders>
              <w:top w:val="outset" w:sz="6" w:space="0" w:color="auto"/>
              <w:left w:val="outset" w:sz="6" w:space="0" w:color="auto"/>
              <w:bottom w:val="outset" w:sz="6" w:space="0" w:color="auto"/>
              <w:right w:val="outset" w:sz="6" w:space="0" w:color="auto"/>
            </w:tcBorders>
            <w:hideMark/>
          </w:tcPr>
          <w:p w14:paraId="14CD6B2E"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interconnection services</w:t>
            </w:r>
          </w:p>
        </w:tc>
        <w:tc>
          <w:tcPr>
            <w:tcW w:w="1300" w:type="pct"/>
            <w:gridSpan w:val="2"/>
            <w:tcBorders>
              <w:top w:val="outset" w:sz="6" w:space="0" w:color="auto"/>
              <w:left w:val="outset" w:sz="6" w:space="0" w:color="auto"/>
              <w:bottom w:val="outset" w:sz="6" w:space="0" w:color="auto"/>
              <w:right w:val="outset" w:sz="6" w:space="0" w:color="auto"/>
            </w:tcBorders>
          </w:tcPr>
          <w:p w14:paraId="27956D86" w14:textId="29F9487F"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A976ECB"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E8235AB" w14:textId="36CB60F7"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22BFDC9"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3B42664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7D5AD582"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 the postal sector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20BDD803" w14:textId="5B5EFCC9"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2E14A14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687B6DB1" w14:textId="3353B22E"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B490635"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CB3E3B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600" w:type="pct"/>
            <w:tcBorders>
              <w:top w:val="outset" w:sz="6" w:space="0" w:color="auto"/>
              <w:left w:val="outset" w:sz="6" w:space="0" w:color="auto"/>
              <w:bottom w:val="outset" w:sz="6" w:space="0" w:color="auto"/>
              <w:right w:val="outset" w:sz="6" w:space="0" w:color="auto"/>
            </w:tcBorders>
            <w:hideMark/>
          </w:tcPr>
          <w:p w14:paraId="2C34635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traditional postal services</w:t>
            </w:r>
          </w:p>
        </w:tc>
        <w:tc>
          <w:tcPr>
            <w:tcW w:w="1300" w:type="pct"/>
            <w:gridSpan w:val="2"/>
            <w:tcBorders>
              <w:top w:val="outset" w:sz="6" w:space="0" w:color="auto"/>
              <w:left w:val="outset" w:sz="6" w:space="0" w:color="auto"/>
              <w:bottom w:val="outset" w:sz="6" w:space="0" w:color="auto"/>
              <w:right w:val="outset" w:sz="6" w:space="0" w:color="auto"/>
            </w:tcBorders>
          </w:tcPr>
          <w:p w14:paraId="70D4A5DF" w14:textId="6614A440"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8EC59F8"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E443F9C" w14:textId="2CE76F5F"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AB82894"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6B80047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600" w:type="pct"/>
            <w:tcBorders>
              <w:top w:val="outset" w:sz="6" w:space="0" w:color="auto"/>
              <w:left w:val="outset" w:sz="6" w:space="0" w:color="auto"/>
              <w:bottom w:val="outset" w:sz="6" w:space="0" w:color="auto"/>
              <w:right w:val="outset" w:sz="6" w:space="0" w:color="auto"/>
            </w:tcBorders>
            <w:hideMark/>
          </w:tcPr>
          <w:p w14:paraId="2938CBC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courier services</w:t>
            </w:r>
          </w:p>
        </w:tc>
        <w:tc>
          <w:tcPr>
            <w:tcW w:w="1300" w:type="pct"/>
            <w:gridSpan w:val="2"/>
            <w:tcBorders>
              <w:top w:val="outset" w:sz="6" w:space="0" w:color="auto"/>
              <w:left w:val="outset" w:sz="6" w:space="0" w:color="auto"/>
              <w:bottom w:val="outset" w:sz="6" w:space="0" w:color="auto"/>
              <w:right w:val="outset" w:sz="6" w:space="0" w:color="auto"/>
            </w:tcBorders>
          </w:tcPr>
          <w:p w14:paraId="02EF980C" w14:textId="40EE2768"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3CA8C1A7"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3119ED7A" w14:textId="45A84F2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5414F8F1"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15F985A4"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600" w:type="pct"/>
            <w:tcBorders>
              <w:top w:val="outset" w:sz="6" w:space="0" w:color="auto"/>
              <w:left w:val="outset" w:sz="6" w:space="0" w:color="auto"/>
              <w:bottom w:val="outset" w:sz="6" w:space="0" w:color="auto"/>
              <w:right w:val="outset" w:sz="6" w:space="0" w:color="auto"/>
            </w:tcBorders>
            <w:hideMark/>
          </w:tcPr>
          <w:p w14:paraId="2088B02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express mail services</w:t>
            </w:r>
          </w:p>
        </w:tc>
        <w:tc>
          <w:tcPr>
            <w:tcW w:w="1300" w:type="pct"/>
            <w:gridSpan w:val="2"/>
            <w:tcBorders>
              <w:top w:val="outset" w:sz="6" w:space="0" w:color="auto"/>
              <w:left w:val="outset" w:sz="6" w:space="0" w:color="auto"/>
              <w:bottom w:val="outset" w:sz="6" w:space="0" w:color="auto"/>
              <w:right w:val="outset" w:sz="6" w:space="0" w:color="auto"/>
            </w:tcBorders>
          </w:tcPr>
          <w:p w14:paraId="36DBB91E" w14:textId="0B6A99CD"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265976A9"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12A052A" w14:textId="64F060A1"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5E4E68E"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39F29D7"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600" w:type="pct"/>
            <w:tcBorders>
              <w:top w:val="outset" w:sz="6" w:space="0" w:color="auto"/>
              <w:left w:val="outset" w:sz="6" w:space="0" w:color="auto"/>
              <w:bottom w:val="outset" w:sz="6" w:space="0" w:color="auto"/>
              <w:right w:val="outset" w:sz="6" w:space="0" w:color="auto"/>
            </w:tcBorders>
            <w:hideMark/>
          </w:tcPr>
          <w:p w14:paraId="4C14F35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delivery services of subscribed press publications</w:t>
            </w:r>
          </w:p>
        </w:tc>
        <w:tc>
          <w:tcPr>
            <w:tcW w:w="1300" w:type="pct"/>
            <w:gridSpan w:val="2"/>
            <w:tcBorders>
              <w:top w:val="outset" w:sz="6" w:space="0" w:color="auto"/>
              <w:left w:val="outset" w:sz="6" w:space="0" w:color="auto"/>
              <w:bottom w:val="outset" w:sz="6" w:space="0" w:color="auto"/>
              <w:right w:val="outset" w:sz="6" w:space="0" w:color="auto"/>
            </w:tcBorders>
          </w:tcPr>
          <w:p w14:paraId="5AC879CB" w14:textId="139AF8D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57F54021"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76AA1497" w14:textId="74B7F0CE"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0ABAB414"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696DBF9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325C9E69"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 the sector of water management in total, including:</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2635FAB6" w14:textId="3B49C9EB"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7FDFE66A"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4B976997" w14:textId="4F9DF364"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F536AA4"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379B1E2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600" w:type="pct"/>
            <w:tcBorders>
              <w:top w:val="outset" w:sz="6" w:space="0" w:color="auto"/>
              <w:left w:val="outset" w:sz="6" w:space="0" w:color="auto"/>
              <w:bottom w:val="outset" w:sz="6" w:space="0" w:color="auto"/>
              <w:right w:val="outset" w:sz="6" w:space="0" w:color="auto"/>
            </w:tcBorders>
            <w:hideMark/>
          </w:tcPr>
          <w:p w14:paraId="54E0DBE4"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abstraction, accumulation and preparation of water for use up to the delivery to the centralised water supply network</w:t>
            </w:r>
          </w:p>
        </w:tc>
        <w:tc>
          <w:tcPr>
            <w:tcW w:w="1300" w:type="pct"/>
            <w:gridSpan w:val="2"/>
            <w:tcBorders>
              <w:top w:val="outset" w:sz="6" w:space="0" w:color="auto"/>
              <w:left w:val="outset" w:sz="6" w:space="0" w:color="auto"/>
              <w:bottom w:val="outset" w:sz="6" w:space="0" w:color="auto"/>
              <w:right w:val="outset" w:sz="6" w:space="0" w:color="auto"/>
            </w:tcBorders>
          </w:tcPr>
          <w:p w14:paraId="5160A13A" w14:textId="18D4067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0316216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030B9B5A" w14:textId="798F142C"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3EBF6082"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6E2F0716"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6.2.</w:t>
            </w:r>
          </w:p>
        </w:tc>
        <w:tc>
          <w:tcPr>
            <w:tcW w:w="1600" w:type="pct"/>
            <w:tcBorders>
              <w:top w:val="outset" w:sz="6" w:space="0" w:color="auto"/>
              <w:left w:val="outset" w:sz="6" w:space="0" w:color="auto"/>
              <w:bottom w:val="outset" w:sz="6" w:space="0" w:color="auto"/>
              <w:right w:val="outset" w:sz="6" w:space="0" w:color="auto"/>
            </w:tcBorders>
            <w:hideMark/>
          </w:tcPr>
          <w:p w14:paraId="1D2FD6B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supply of water from the supply point in the centralised water supply network up to the proprietary border</w:t>
            </w:r>
          </w:p>
        </w:tc>
        <w:tc>
          <w:tcPr>
            <w:tcW w:w="1300" w:type="pct"/>
            <w:gridSpan w:val="2"/>
            <w:tcBorders>
              <w:top w:val="outset" w:sz="6" w:space="0" w:color="auto"/>
              <w:left w:val="outset" w:sz="6" w:space="0" w:color="auto"/>
              <w:bottom w:val="outset" w:sz="6" w:space="0" w:color="auto"/>
              <w:right w:val="outset" w:sz="6" w:space="0" w:color="auto"/>
            </w:tcBorders>
          </w:tcPr>
          <w:p w14:paraId="4F4E2BB0" w14:textId="19094273"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04EED1AA"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8EE0840" w14:textId="0105DBD1"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92524AC"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4EE62C3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600" w:type="pct"/>
            <w:tcBorders>
              <w:top w:val="outset" w:sz="6" w:space="0" w:color="auto"/>
              <w:left w:val="outset" w:sz="6" w:space="0" w:color="auto"/>
              <w:bottom w:val="outset" w:sz="6" w:space="0" w:color="auto"/>
              <w:right w:val="outset" w:sz="6" w:space="0" w:color="auto"/>
            </w:tcBorders>
            <w:hideMark/>
          </w:tcPr>
          <w:p w14:paraId="6F3B6E1B"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wastewater collection in the centralised sewerage systems and drainage up to wastewater treatment facilities</w:t>
            </w:r>
          </w:p>
        </w:tc>
        <w:tc>
          <w:tcPr>
            <w:tcW w:w="1300" w:type="pct"/>
            <w:gridSpan w:val="2"/>
            <w:tcBorders>
              <w:top w:val="outset" w:sz="6" w:space="0" w:color="auto"/>
              <w:left w:val="outset" w:sz="6" w:space="0" w:color="auto"/>
              <w:bottom w:val="outset" w:sz="6" w:space="0" w:color="auto"/>
              <w:right w:val="outset" w:sz="6" w:space="0" w:color="auto"/>
            </w:tcBorders>
          </w:tcPr>
          <w:p w14:paraId="55FBF51F" w14:textId="1346FE3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3DF79515"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5E1F12E8" w14:textId="58CE8FE8"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0F6D9C2C" w14:textId="77777777" w:rsidTr="002F6A33">
        <w:tc>
          <w:tcPr>
            <w:tcW w:w="300" w:type="pct"/>
            <w:tcBorders>
              <w:top w:val="outset" w:sz="6" w:space="0" w:color="auto"/>
              <w:left w:val="outset" w:sz="6" w:space="0" w:color="auto"/>
              <w:bottom w:val="outset" w:sz="6" w:space="0" w:color="auto"/>
              <w:right w:val="outset" w:sz="6" w:space="0" w:color="auto"/>
            </w:tcBorders>
            <w:vAlign w:val="center"/>
            <w:hideMark/>
          </w:tcPr>
          <w:p w14:paraId="50FCC4E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600" w:type="pct"/>
            <w:tcBorders>
              <w:top w:val="outset" w:sz="6" w:space="0" w:color="auto"/>
              <w:left w:val="outset" w:sz="6" w:space="0" w:color="auto"/>
              <w:bottom w:val="outset" w:sz="6" w:space="0" w:color="auto"/>
              <w:right w:val="outset" w:sz="6" w:space="0" w:color="auto"/>
            </w:tcBorders>
            <w:hideMark/>
          </w:tcPr>
          <w:p w14:paraId="0C19E93F"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wastewater treatment and drainage in the environment, including in surface waterbodies</w:t>
            </w:r>
          </w:p>
        </w:tc>
        <w:tc>
          <w:tcPr>
            <w:tcW w:w="1300" w:type="pct"/>
            <w:gridSpan w:val="2"/>
            <w:tcBorders>
              <w:top w:val="outset" w:sz="6" w:space="0" w:color="auto"/>
              <w:left w:val="outset" w:sz="6" w:space="0" w:color="auto"/>
              <w:bottom w:val="outset" w:sz="6" w:space="0" w:color="auto"/>
              <w:right w:val="outset" w:sz="6" w:space="0" w:color="auto"/>
            </w:tcBorders>
          </w:tcPr>
          <w:p w14:paraId="5915D2E1" w14:textId="25941013"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vAlign w:val="center"/>
            <w:hideMark/>
          </w:tcPr>
          <w:p w14:paraId="3547D609"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hideMark/>
          </w:tcPr>
          <w:p w14:paraId="1FEAD803" w14:textId="07738CDB"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C669FAA"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7B0CF67C"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3B58DD39"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 the sector of municipal waste management in disposal of household waste at landfill sites</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5B2B9604" w14:textId="3C397F4C"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32270E24" w14:textId="77777777" w:rsidR="00552341" w:rsidRPr="005C11B1" w:rsidRDefault="00552341" w:rsidP="00403B2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1F564A21" w14:textId="76EF56C4"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FE864D4" w14:textId="77777777" w:rsidTr="002F6A33">
        <w:tc>
          <w:tcPr>
            <w:tcW w:w="3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18082822"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600" w:type="pct"/>
            <w:tcBorders>
              <w:top w:val="outset" w:sz="6" w:space="0" w:color="auto"/>
              <w:left w:val="outset" w:sz="6" w:space="0" w:color="auto"/>
              <w:bottom w:val="outset" w:sz="6" w:space="0" w:color="auto"/>
              <w:right w:val="outset" w:sz="6" w:space="0" w:color="auto"/>
            </w:tcBorders>
            <w:shd w:val="clear" w:color="auto" w:fill="C0C0C0"/>
            <w:hideMark/>
          </w:tcPr>
          <w:p w14:paraId="0BF85EFF"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Total net turnover of public utilities provided by the Merchant in the respective calendar year /total calculated State fee for the regulation of public utilities (1 +2 +3 +4 +5 +6 +7 but not less than EUR 200)</w:t>
            </w:r>
          </w:p>
        </w:tc>
        <w:tc>
          <w:tcPr>
            <w:tcW w:w="1300" w:type="pct"/>
            <w:gridSpan w:val="2"/>
            <w:tcBorders>
              <w:top w:val="outset" w:sz="6" w:space="0" w:color="auto"/>
              <w:left w:val="outset" w:sz="6" w:space="0" w:color="auto"/>
              <w:bottom w:val="outset" w:sz="6" w:space="0" w:color="auto"/>
              <w:right w:val="outset" w:sz="6" w:space="0" w:color="auto"/>
            </w:tcBorders>
            <w:shd w:val="clear" w:color="auto" w:fill="C0C0C0"/>
          </w:tcPr>
          <w:p w14:paraId="52610A6B" w14:textId="04D54AA6"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000000"/>
            <w:hideMark/>
          </w:tcPr>
          <w:p w14:paraId="6FD98408" w14:textId="56E099A8"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outset" w:sz="6" w:space="0" w:color="auto"/>
              <w:right w:val="outset" w:sz="6" w:space="0" w:color="auto"/>
            </w:tcBorders>
            <w:shd w:val="clear" w:color="auto" w:fill="C0C0C0"/>
            <w:hideMark/>
          </w:tcPr>
          <w:p w14:paraId="06AB2CF5" w14:textId="0173B700"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1AE776DD" w14:textId="77777777" w:rsidTr="002F6A33">
        <w:tc>
          <w:tcPr>
            <w:tcW w:w="300" w:type="pct"/>
            <w:tcBorders>
              <w:top w:val="outset" w:sz="6" w:space="0" w:color="auto"/>
              <w:left w:val="outset" w:sz="6" w:space="0" w:color="auto"/>
              <w:bottom w:val="single" w:sz="6" w:space="0" w:color="auto"/>
              <w:right w:val="outset" w:sz="6" w:space="0" w:color="auto"/>
            </w:tcBorders>
            <w:vAlign w:val="center"/>
            <w:hideMark/>
          </w:tcPr>
          <w:p w14:paraId="41711133"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600" w:type="pct"/>
            <w:tcBorders>
              <w:top w:val="outset" w:sz="6" w:space="0" w:color="auto"/>
              <w:left w:val="outset" w:sz="6" w:space="0" w:color="auto"/>
              <w:bottom w:val="single" w:sz="6" w:space="0" w:color="auto"/>
              <w:right w:val="outset" w:sz="6" w:space="0" w:color="auto"/>
            </w:tcBorders>
            <w:hideMark/>
          </w:tcPr>
          <w:p w14:paraId="29ADB8DB"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Total net turnover of the Merchant in the relevant calendar year (including total net turnover of the public utilities provided by the Merchant in the relevant calendar year)</w:t>
            </w:r>
          </w:p>
        </w:tc>
        <w:tc>
          <w:tcPr>
            <w:tcW w:w="1300" w:type="pct"/>
            <w:gridSpan w:val="2"/>
            <w:tcBorders>
              <w:top w:val="outset" w:sz="6" w:space="0" w:color="auto"/>
              <w:left w:val="outset" w:sz="6" w:space="0" w:color="auto"/>
              <w:bottom w:val="single" w:sz="6" w:space="0" w:color="auto"/>
              <w:right w:val="outset" w:sz="6" w:space="0" w:color="auto"/>
            </w:tcBorders>
          </w:tcPr>
          <w:p w14:paraId="08996F8C" w14:textId="059D7316"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single" w:sz="6" w:space="0" w:color="auto"/>
              <w:right w:val="outset" w:sz="6" w:space="0" w:color="auto"/>
            </w:tcBorders>
            <w:shd w:val="clear" w:color="auto" w:fill="000000"/>
            <w:hideMark/>
          </w:tcPr>
          <w:p w14:paraId="0158F401" w14:textId="4F401CDE"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c>
          <w:tcPr>
            <w:tcW w:w="900" w:type="pct"/>
            <w:tcBorders>
              <w:top w:val="outset" w:sz="6" w:space="0" w:color="auto"/>
              <w:left w:val="outset" w:sz="6" w:space="0" w:color="auto"/>
              <w:bottom w:val="single" w:sz="6" w:space="0" w:color="auto"/>
              <w:right w:val="outset" w:sz="6" w:space="0" w:color="auto"/>
            </w:tcBorders>
            <w:shd w:val="clear" w:color="auto" w:fill="000000"/>
            <w:hideMark/>
          </w:tcPr>
          <w:p w14:paraId="4C9568EF" w14:textId="69A04E62" w:rsidR="00552341" w:rsidRPr="005C11B1" w:rsidRDefault="00552341" w:rsidP="00403B26">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1591602F" w14:textId="77777777" w:rsidTr="00403B26">
        <w:tc>
          <w:tcPr>
            <w:tcW w:w="300" w:type="pct"/>
            <w:tcBorders>
              <w:top w:val="outset" w:sz="6" w:space="0" w:color="auto"/>
              <w:left w:val="nil"/>
              <w:bottom w:val="nil"/>
              <w:right w:val="nil"/>
            </w:tcBorders>
            <w:vAlign w:val="center"/>
            <w:hideMark/>
          </w:tcPr>
          <w:p w14:paraId="3CC7B9A7" w14:textId="502C10C5"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600" w:type="pct"/>
            <w:tcBorders>
              <w:top w:val="outset" w:sz="6" w:space="0" w:color="auto"/>
              <w:left w:val="nil"/>
              <w:bottom w:val="nil"/>
              <w:right w:val="nil"/>
            </w:tcBorders>
            <w:hideMark/>
          </w:tcPr>
          <w:p w14:paraId="552A0C71" w14:textId="5EB7E72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300" w:type="pct"/>
            <w:gridSpan w:val="2"/>
            <w:tcBorders>
              <w:top w:val="outset" w:sz="6" w:space="0" w:color="auto"/>
              <w:left w:val="nil"/>
              <w:bottom w:val="nil"/>
              <w:right w:val="nil"/>
            </w:tcBorders>
            <w:hideMark/>
          </w:tcPr>
          <w:p w14:paraId="492C1D8C" w14:textId="458C3F9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nil"/>
              <w:bottom w:val="nil"/>
              <w:right w:val="nil"/>
            </w:tcBorders>
            <w:hideMark/>
          </w:tcPr>
          <w:p w14:paraId="3C765D2D" w14:textId="30705E85"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900" w:type="pct"/>
            <w:tcBorders>
              <w:top w:val="outset" w:sz="6" w:space="0" w:color="auto"/>
              <w:left w:val="nil"/>
              <w:bottom w:val="nil"/>
              <w:right w:val="nil"/>
            </w:tcBorders>
            <w:hideMark/>
          </w:tcPr>
          <w:p w14:paraId="23E14E9B" w14:textId="61E6E5E9"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bl>
    <w:p w14:paraId="0523B6AE"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97"/>
        <w:gridCol w:w="496"/>
        <w:gridCol w:w="222"/>
        <w:gridCol w:w="56"/>
        <w:gridCol w:w="10"/>
        <w:gridCol w:w="709"/>
        <w:gridCol w:w="641"/>
        <w:gridCol w:w="1390"/>
        <w:gridCol w:w="1110"/>
        <w:gridCol w:w="3940"/>
      </w:tblGrid>
      <w:tr w:rsidR="007C6371" w:rsidRPr="0014579E" w14:paraId="1B582CBE" w14:textId="77777777" w:rsidTr="007C6371">
        <w:tc>
          <w:tcPr>
            <w:tcW w:w="567" w:type="pct"/>
            <w:gridSpan w:val="3"/>
            <w:tcBorders>
              <w:top w:val="nil"/>
              <w:left w:val="nil"/>
              <w:bottom w:val="nil"/>
              <w:right w:val="nil"/>
            </w:tcBorders>
            <w:vAlign w:val="bottom"/>
            <w:hideMark/>
          </w:tcPr>
          <w:p w14:paraId="4623EF40"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44" w:type="pct"/>
            <w:gridSpan w:val="2"/>
            <w:tcBorders>
              <w:top w:val="nil"/>
              <w:left w:val="nil"/>
              <w:bottom w:val="nil"/>
              <w:right w:val="nil"/>
            </w:tcBorders>
            <w:hideMark/>
          </w:tcPr>
          <w:p w14:paraId="6B9E535F" w14:textId="6DA34210"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428" w:type="pct"/>
            <w:tcBorders>
              <w:top w:val="nil"/>
              <w:left w:val="nil"/>
              <w:bottom w:val="nil"/>
              <w:right w:val="nil"/>
            </w:tcBorders>
            <w:vAlign w:val="center"/>
            <w:hideMark/>
          </w:tcPr>
          <w:p w14:paraId="33F15DA5"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368" w:type="pct"/>
            <w:tcBorders>
              <w:top w:val="nil"/>
              <w:left w:val="nil"/>
              <w:bottom w:val="nil"/>
              <w:right w:val="nil"/>
            </w:tcBorders>
            <w:vAlign w:val="center"/>
            <w:hideMark/>
          </w:tcPr>
          <w:p w14:paraId="4DA25FC7"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781" w:type="pct"/>
            <w:tcBorders>
              <w:top w:val="nil"/>
              <w:left w:val="nil"/>
              <w:bottom w:val="nil"/>
              <w:right w:val="nil"/>
            </w:tcBorders>
            <w:vAlign w:val="center"/>
            <w:hideMark/>
          </w:tcPr>
          <w:p w14:paraId="69413127"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 .</w:t>
            </w:r>
          </w:p>
        </w:tc>
        <w:tc>
          <w:tcPr>
            <w:tcW w:w="626" w:type="pct"/>
            <w:tcBorders>
              <w:top w:val="nil"/>
              <w:left w:val="nil"/>
              <w:bottom w:val="nil"/>
              <w:right w:val="nil"/>
            </w:tcBorders>
            <w:vAlign w:val="bottom"/>
            <w:hideMark/>
          </w:tcPr>
          <w:p w14:paraId="05079989" w14:textId="2B2A5F7E"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vAlign w:val="center"/>
            <w:hideMark/>
          </w:tcPr>
          <w:p w14:paraId="0F99D39F" w14:textId="139E2C09"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077BC61F" w14:textId="77777777" w:rsidTr="007C6371">
        <w:tc>
          <w:tcPr>
            <w:tcW w:w="215" w:type="pct"/>
            <w:tcBorders>
              <w:top w:val="nil"/>
              <w:left w:val="nil"/>
              <w:bottom w:val="nil"/>
              <w:right w:val="nil"/>
            </w:tcBorders>
            <w:hideMark/>
          </w:tcPr>
          <w:p w14:paraId="20B92E6C" w14:textId="360BFEC8"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599" w:type="pct"/>
            <w:gridSpan w:val="8"/>
            <w:tcBorders>
              <w:top w:val="nil"/>
              <w:left w:val="nil"/>
              <w:bottom w:val="nil"/>
              <w:right w:val="nil"/>
            </w:tcBorders>
            <w:hideMark/>
          </w:tcPr>
          <w:p w14:paraId="7B369DF4" w14:textId="053A0A43"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795686BC" w14:textId="1EA86A62"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42FDB2D7" w14:textId="77777777" w:rsidTr="007C6371">
        <w:tc>
          <w:tcPr>
            <w:tcW w:w="2814" w:type="pct"/>
            <w:gridSpan w:val="9"/>
            <w:tcBorders>
              <w:top w:val="nil"/>
              <w:left w:val="nil"/>
              <w:bottom w:val="nil"/>
              <w:right w:val="nil"/>
            </w:tcBorders>
            <w:hideMark/>
          </w:tcPr>
          <w:p w14:paraId="326C556D" w14:textId="6E5BB6CE"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2186" w:type="pct"/>
            <w:tcBorders>
              <w:top w:val="nil"/>
              <w:left w:val="nil"/>
              <w:bottom w:val="single" w:sz="6" w:space="0" w:color="auto"/>
              <w:right w:val="nil"/>
            </w:tcBorders>
            <w:vAlign w:val="center"/>
            <w:hideMark/>
          </w:tcPr>
          <w:p w14:paraId="0115F8FD" w14:textId="3E05F45D"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1208E840" w14:textId="77777777" w:rsidTr="007C6371">
        <w:tc>
          <w:tcPr>
            <w:tcW w:w="215" w:type="pct"/>
            <w:tcBorders>
              <w:top w:val="nil"/>
              <w:left w:val="nil"/>
              <w:bottom w:val="nil"/>
              <w:right w:val="nil"/>
            </w:tcBorders>
            <w:hideMark/>
          </w:tcPr>
          <w:p w14:paraId="19C2AD0A" w14:textId="057C678F"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599" w:type="pct"/>
            <w:gridSpan w:val="8"/>
            <w:tcBorders>
              <w:top w:val="nil"/>
              <w:left w:val="nil"/>
              <w:bottom w:val="nil"/>
              <w:right w:val="nil"/>
            </w:tcBorders>
            <w:hideMark/>
          </w:tcPr>
          <w:p w14:paraId="5C7509C9" w14:textId="109D8F47"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outset" w:sz="6" w:space="0" w:color="auto"/>
              <w:left w:val="nil"/>
              <w:bottom w:val="nil"/>
              <w:right w:val="nil"/>
            </w:tcBorders>
            <w:hideMark/>
          </w:tcPr>
          <w:p w14:paraId="110543DB"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 thereof/</w:t>
            </w:r>
          </w:p>
        </w:tc>
      </w:tr>
      <w:tr w:rsidR="00552341" w:rsidRPr="0014579E" w14:paraId="0020B232" w14:textId="77777777" w:rsidTr="007C6371">
        <w:tc>
          <w:tcPr>
            <w:tcW w:w="215" w:type="pct"/>
            <w:tcBorders>
              <w:top w:val="nil"/>
              <w:left w:val="nil"/>
              <w:bottom w:val="nil"/>
              <w:right w:val="nil"/>
            </w:tcBorders>
            <w:hideMark/>
          </w:tcPr>
          <w:p w14:paraId="7AC2A1DC" w14:textId="078E3E5C"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599" w:type="pct"/>
            <w:gridSpan w:val="8"/>
            <w:tcBorders>
              <w:top w:val="nil"/>
              <w:left w:val="nil"/>
              <w:bottom w:val="nil"/>
              <w:right w:val="nil"/>
            </w:tcBorders>
            <w:hideMark/>
          </w:tcPr>
          <w:p w14:paraId="17C8611F" w14:textId="76FAFF4C"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7D42A0D3" w14:textId="16210970"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614C184D" w14:textId="77777777" w:rsidTr="007C6371">
        <w:tc>
          <w:tcPr>
            <w:tcW w:w="215" w:type="pct"/>
            <w:tcBorders>
              <w:top w:val="nil"/>
              <w:left w:val="nil"/>
              <w:bottom w:val="single" w:sz="6" w:space="0" w:color="auto"/>
              <w:right w:val="nil"/>
            </w:tcBorders>
            <w:hideMark/>
          </w:tcPr>
          <w:p w14:paraId="0160DF3E" w14:textId="0C73C6DC"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599" w:type="pct"/>
            <w:gridSpan w:val="8"/>
            <w:tcBorders>
              <w:top w:val="nil"/>
              <w:left w:val="nil"/>
              <w:bottom w:val="single" w:sz="6" w:space="0" w:color="auto"/>
              <w:right w:val="nil"/>
            </w:tcBorders>
            <w:hideMark/>
          </w:tcPr>
          <w:p w14:paraId="7C60EE0A" w14:textId="50A0B01A"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2D98FDC4" w14:textId="3F90A88B"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226128B6" w14:textId="77777777" w:rsidTr="007C6371">
        <w:tc>
          <w:tcPr>
            <w:tcW w:w="215" w:type="pct"/>
            <w:tcBorders>
              <w:top w:val="outset" w:sz="6" w:space="0" w:color="auto"/>
              <w:left w:val="nil"/>
              <w:bottom w:val="nil"/>
              <w:right w:val="nil"/>
            </w:tcBorders>
            <w:hideMark/>
          </w:tcPr>
          <w:p w14:paraId="3F4D227B" w14:textId="2B9EA0D5"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599" w:type="pct"/>
            <w:gridSpan w:val="8"/>
            <w:tcBorders>
              <w:top w:val="outset" w:sz="6" w:space="0" w:color="auto"/>
              <w:left w:val="nil"/>
              <w:bottom w:val="nil"/>
              <w:right w:val="nil"/>
            </w:tcBorders>
            <w:hideMark/>
          </w:tcPr>
          <w:p w14:paraId="0D30A0BA"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of the person who prepared the document/</w:t>
            </w:r>
          </w:p>
        </w:tc>
        <w:tc>
          <w:tcPr>
            <w:tcW w:w="2186" w:type="pct"/>
            <w:tcBorders>
              <w:top w:val="nil"/>
              <w:left w:val="nil"/>
              <w:bottom w:val="nil"/>
              <w:right w:val="nil"/>
            </w:tcBorders>
            <w:hideMark/>
          </w:tcPr>
          <w:p w14:paraId="1D92C375" w14:textId="7F8CD807"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20A26610" w14:textId="77777777" w:rsidTr="007C6371">
        <w:tc>
          <w:tcPr>
            <w:tcW w:w="430" w:type="pct"/>
            <w:gridSpan w:val="2"/>
            <w:tcBorders>
              <w:top w:val="nil"/>
              <w:left w:val="nil"/>
              <w:bottom w:val="nil"/>
              <w:right w:val="nil"/>
            </w:tcBorders>
            <w:vAlign w:val="bottom"/>
            <w:hideMark/>
          </w:tcPr>
          <w:p w14:paraId="0463935B"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174" w:type="pct"/>
            <w:gridSpan w:val="2"/>
            <w:tcBorders>
              <w:top w:val="nil"/>
              <w:left w:val="nil"/>
              <w:bottom w:val="nil"/>
              <w:right w:val="nil"/>
            </w:tcBorders>
            <w:hideMark/>
          </w:tcPr>
          <w:p w14:paraId="7B18B73D" w14:textId="59487DC7"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210" w:type="pct"/>
            <w:gridSpan w:val="5"/>
            <w:tcBorders>
              <w:top w:val="nil"/>
              <w:left w:val="nil"/>
              <w:bottom w:val="single" w:sz="6" w:space="0" w:color="auto"/>
              <w:right w:val="nil"/>
            </w:tcBorders>
            <w:vAlign w:val="bottom"/>
            <w:hideMark/>
          </w:tcPr>
          <w:p w14:paraId="7E3A8D4D" w14:textId="4D0E113C"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274BC3C7" w14:textId="2FB811C0"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743AEBC8" w14:textId="77777777" w:rsidTr="007C6371">
        <w:tc>
          <w:tcPr>
            <w:tcW w:w="430" w:type="pct"/>
            <w:gridSpan w:val="2"/>
            <w:tcBorders>
              <w:top w:val="nil"/>
              <w:left w:val="nil"/>
              <w:bottom w:val="nil"/>
              <w:right w:val="nil"/>
            </w:tcBorders>
            <w:vAlign w:val="bottom"/>
            <w:hideMark/>
          </w:tcPr>
          <w:p w14:paraId="11323334" w14:textId="438DBC41"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174" w:type="pct"/>
            <w:gridSpan w:val="2"/>
            <w:tcBorders>
              <w:top w:val="nil"/>
              <w:left w:val="nil"/>
              <w:bottom w:val="nil"/>
              <w:right w:val="nil"/>
            </w:tcBorders>
            <w:hideMark/>
          </w:tcPr>
          <w:p w14:paraId="4DE31EFE" w14:textId="2F7BEAB9"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210" w:type="pct"/>
            <w:gridSpan w:val="5"/>
            <w:tcBorders>
              <w:top w:val="outset" w:sz="6" w:space="0" w:color="auto"/>
              <w:left w:val="nil"/>
              <w:bottom w:val="nil"/>
              <w:right w:val="nil"/>
            </w:tcBorders>
            <w:vAlign w:val="bottom"/>
            <w:hideMark/>
          </w:tcPr>
          <w:p w14:paraId="1D28CC98" w14:textId="3FE87E45"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413DA049" w14:textId="5540E658"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1EF5C589" w14:textId="77777777" w:rsidTr="007C6371">
        <w:tc>
          <w:tcPr>
            <w:tcW w:w="430" w:type="pct"/>
            <w:gridSpan w:val="2"/>
            <w:tcBorders>
              <w:top w:val="nil"/>
              <w:left w:val="nil"/>
              <w:bottom w:val="nil"/>
              <w:right w:val="nil"/>
            </w:tcBorders>
            <w:vAlign w:val="bottom"/>
            <w:hideMark/>
          </w:tcPr>
          <w:p w14:paraId="13743AA4" w14:textId="77777777" w:rsidR="00552341" w:rsidRPr="005C11B1" w:rsidRDefault="00552341" w:rsidP="00FC417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w:t>
            </w:r>
          </w:p>
        </w:tc>
        <w:tc>
          <w:tcPr>
            <w:tcW w:w="174" w:type="pct"/>
            <w:gridSpan w:val="2"/>
            <w:tcBorders>
              <w:top w:val="nil"/>
              <w:left w:val="nil"/>
              <w:bottom w:val="nil"/>
              <w:right w:val="nil"/>
            </w:tcBorders>
            <w:hideMark/>
          </w:tcPr>
          <w:p w14:paraId="6CFA571A" w14:textId="35D1B089"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210" w:type="pct"/>
            <w:gridSpan w:val="5"/>
            <w:tcBorders>
              <w:top w:val="nil"/>
              <w:left w:val="nil"/>
              <w:bottom w:val="single" w:sz="6" w:space="0" w:color="auto"/>
              <w:right w:val="nil"/>
            </w:tcBorders>
            <w:vAlign w:val="bottom"/>
            <w:hideMark/>
          </w:tcPr>
          <w:p w14:paraId="5AEC831E" w14:textId="486E4731"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c>
          <w:tcPr>
            <w:tcW w:w="2186" w:type="pct"/>
            <w:tcBorders>
              <w:top w:val="nil"/>
              <w:left w:val="nil"/>
              <w:bottom w:val="nil"/>
              <w:right w:val="nil"/>
            </w:tcBorders>
            <w:hideMark/>
          </w:tcPr>
          <w:p w14:paraId="456DC39A" w14:textId="49AE1152" w:rsidR="00552341" w:rsidRPr="005C11B1" w:rsidRDefault="00552341" w:rsidP="00FC417B">
            <w:pPr>
              <w:spacing w:after="0" w:line="240" w:lineRule="auto"/>
              <w:jc w:val="both"/>
              <w:rPr>
                <w:rFonts w:ascii="Times New Roman" w:eastAsia="Times New Roman" w:hAnsi="Times New Roman" w:cs="Times New Roman"/>
                <w:noProof/>
                <w:sz w:val="24"/>
                <w:szCs w:val="24"/>
                <w:lang w:eastAsia="lv-LV"/>
              </w:rPr>
            </w:pPr>
          </w:p>
        </w:tc>
      </w:tr>
    </w:tbl>
    <w:p w14:paraId="1FB51A32"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55A7E366" w14:textId="4F80EA9B"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Note. The details of the document “date” and “signature” shall not be completed, if the electronic document has been prepared in accordance with the laws and regulations regarding drawing up of electronic documents.</w:t>
      </w:r>
    </w:p>
    <w:p w14:paraId="739154CE"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2CC232BA"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24CB9699" w14:textId="3FB63072" w:rsidR="00552341" w:rsidRPr="005C11B1" w:rsidRDefault="00552341" w:rsidP="00E660E9">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E660E9">
        <w:rPr>
          <w:rFonts w:ascii="Times New Roman" w:hAnsi="Times New Roman"/>
          <w:sz w:val="24"/>
        </w:rPr>
        <w:tab/>
      </w:r>
      <w:r>
        <w:rPr>
          <w:rFonts w:ascii="Times New Roman" w:hAnsi="Times New Roman"/>
          <w:sz w:val="24"/>
        </w:rPr>
        <w:t>R. Irklis</w:t>
      </w:r>
    </w:p>
    <w:p w14:paraId="032601B5" w14:textId="641C22AA" w:rsidR="007C6371" w:rsidRDefault="007C6371">
      <w:pPr>
        <w:rPr>
          <w:rFonts w:ascii="Times New Roman" w:eastAsia="Times New Roman" w:hAnsi="Times New Roman" w:cs="Times New Roman"/>
          <w:noProof/>
          <w:sz w:val="24"/>
          <w:szCs w:val="24"/>
        </w:rPr>
      </w:pPr>
      <w:r>
        <w:br w:type="page"/>
      </w:r>
    </w:p>
    <w:p w14:paraId="266AD085"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45F111A6" w14:textId="23EE2C4B" w:rsidR="00413A2D" w:rsidRPr="007C6371" w:rsidRDefault="00552341" w:rsidP="007C637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315D3D8E" w14:textId="46368F8D" w:rsidR="00552341" w:rsidRPr="005C11B1" w:rsidRDefault="00552341" w:rsidP="007C637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1/42 of the Public Utilities Commission of 21 December 2017</w:t>
      </w:r>
      <w:bookmarkStart w:id="52" w:name="piel-783970"/>
      <w:bookmarkStart w:id="53" w:name="piel2"/>
      <w:bookmarkEnd w:id="52"/>
      <w:bookmarkEnd w:id="53"/>
    </w:p>
    <w:p w14:paraId="610F3F7C" w14:textId="77777777" w:rsidR="00552341" w:rsidRDefault="00552341" w:rsidP="007C637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1ACDB097"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6F17DD0B" w14:textId="77777777" w:rsidR="007C6371" w:rsidRPr="005C11B1" w:rsidRDefault="007C6371" w:rsidP="00413A2D">
      <w:pPr>
        <w:spacing w:after="0" w:line="240" w:lineRule="auto"/>
        <w:jc w:val="both"/>
        <w:rPr>
          <w:rFonts w:ascii="Times New Roman" w:eastAsia="Times New Roman" w:hAnsi="Times New Roman" w:cs="Times New Roman"/>
          <w:noProof/>
          <w:sz w:val="24"/>
          <w:szCs w:val="24"/>
          <w:lang w:eastAsia="lv-LV"/>
        </w:rPr>
      </w:pPr>
    </w:p>
    <w:p w14:paraId="21035C27" w14:textId="77777777" w:rsidR="00552341" w:rsidRPr="007C6371" w:rsidRDefault="00552341" w:rsidP="007C6371">
      <w:pPr>
        <w:spacing w:after="0" w:line="240" w:lineRule="auto"/>
        <w:jc w:val="center"/>
        <w:rPr>
          <w:rFonts w:ascii="Times New Roman" w:eastAsia="Times New Roman" w:hAnsi="Times New Roman" w:cs="Times New Roman"/>
          <w:b/>
          <w:bCs/>
          <w:noProof/>
          <w:sz w:val="28"/>
          <w:szCs w:val="28"/>
        </w:rPr>
      </w:pPr>
      <w:bookmarkStart w:id="54" w:name="643804"/>
      <w:bookmarkStart w:id="55" w:name="n-643804"/>
      <w:bookmarkEnd w:id="54"/>
      <w:bookmarkEnd w:id="55"/>
      <w:r>
        <w:rPr>
          <w:rFonts w:ascii="Times New Roman" w:hAnsi="Times New Roman"/>
          <w:b/>
          <w:sz w:val="28"/>
        </w:rPr>
        <w:t>Calculation of the Public Electricity Trader’s State Fee for the Regulation of Public Utilities for the year__________</w:t>
      </w:r>
    </w:p>
    <w:p w14:paraId="55FED423"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74F9E3EA" w14:textId="77777777" w:rsidR="007C6371" w:rsidRPr="005C11B1" w:rsidRDefault="007C6371" w:rsidP="00413A2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552341" w:rsidRPr="0014579E" w14:paraId="792718CF" w14:textId="77777777" w:rsidTr="007C6371">
        <w:tc>
          <w:tcPr>
            <w:tcW w:w="25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18F3116C"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public electricity trader</w:t>
            </w:r>
          </w:p>
        </w:tc>
        <w:tc>
          <w:tcPr>
            <w:tcW w:w="2500" w:type="pct"/>
            <w:tcBorders>
              <w:top w:val="outset" w:sz="6" w:space="0" w:color="auto"/>
              <w:left w:val="outset" w:sz="6" w:space="0" w:color="auto"/>
              <w:bottom w:val="outset" w:sz="6" w:space="0" w:color="auto"/>
              <w:right w:val="outset" w:sz="6" w:space="0" w:color="auto"/>
            </w:tcBorders>
            <w:hideMark/>
          </w:tcPr>
          <w:p w14:paraId="3FF01A20" w14:textId="31A98DC2"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4B84CA6" w14:textId="77777777" w:rsidTr="007C6371">
        <w:tc>
          <w:tcPr>
            <w:tcW w:w="25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6BEFBF92"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Unified registration number</w:t>
            </w:r>
          </w:p>
        </w:tc>
        <w:tc>
          <w:tcPr>
            <w:tcW w:w="2500" w:type="pct"/>
            <w:tcBorders>
              <w:top w:val="outset" w:sz="6" w:space="0" w:color="auto"/>
              <w:left w:val="outset" w:sz="6" w:space="0" w:color="auto"/>
              <w:bottom w:val="outset" w:sz="6" w:space="0" w:color="auto"/>
              <w:right w:val="outset" w:sz="6" w:space="0" w:color="auto"/>
            </w:tcBorders>
            <w:hideMark/>
          </w:tcPr>
          <w:p w14:paraId="67954656" w14:textId="50B007CB"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349D5D9" w14:textId="77777777" w:rsidTr="007C6371">
        <w:tc>
          <w:tcPr>
            <w:tcW w:w="25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0D615C5E"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Restricted access information (mark as appropriate)</w:t>
            </w:r>
          </w:p>
        </w:tc>
        <w:tc>
          <w:tcPr>
            <w:tcW w:w="2500" w:type="pct"/>
            <w:tcBorders>
              <w:top w:val="outset" w:sz="6" w:space="0" w:color="auto"/>
              <w:left w:val="outset" w:sz="6" w:space="0" w:color="auto"/>
              <w:bottom w:val="outset" w:sz="6" w:space="0" w:color="auto"/>
              <w:right w:val="outset" w:sz="6" w:space="0" w:color="auto"/>
            </w:tcBorders>
            <w:hideMark/>
          </w:tcPr>
          <w:p w14:paraId="6B213060"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CFD5558" wp14:editId="7DC0099A">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2341" w:rsidRPr="0014579E" w14:paraId="270C7271" w14:textId="77777777" w:rsidTr="007C6371">
        <w:tc>
          <w:tcPr>
            <w:tcW w:w="2500" w:type="pct"/>
            <w:tcBorders>
              <w:top w:val="outset" w:sz="6" w:space="0" w:color="auto"/>
              <w:left w:val="outset" w:sz="6" w:space="0" w:color="auto"/>
              <w:bottom w:val="single" w:sz="6" w:space="0" w:color="auto"/>
              <w:right w:val="outset" w:sz="6" w:space="0" w:color="auto"/>
            </w:tcBorders>
            <w:shd w:val="clear" w:color="auto" w:fill="C0C0C0"/>
            <w:vAlign w:val="center"/>
            <w:hideMark/>
          </w:tcPr>
          <w:p w14:paraId="729DD326"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Grounds of the public electricity trader for determining the status of restricted access</w:t>
            </w:r>
          </w:p>
        </w:tc>
        <w:tc>
          <w:tcPr>
            <w:tcW w:w="2500" w:type="pct"/>
            <w:tcBorders>
              <w:top w:val="outset" w:sz="6" w:space="0" w:color="auto"/>
              <w:left w:val="outset" w:sz="6" w:space="0" w:color="auto"/>
              <w:bottom w:val="single" w:sz="6" w:space="0" w:color="auto"/>
              <w:right w:val="outset" w:sz="6" w:space="0" w:color="auto"/>
            </w:tcBorders>
            <w:hideMark/>
          </w:tcPr>
          <w:p w14:paraId="2BBA599C" w14:textId="0C27D90E"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56D9D27C" w14:textId="77777777" w:rsidTr="007C6371">
        <w:tc>
          <w:tcPr>
            <w:tcW w:w="2500" w:type="pct"/>
            <w:tcBorders>
              <w:top w:val="outset" w:sz="6" w:space="0" w:color="auto"/>
              <w:left w:val="nil"/>
              <w:bottom w:val="nil"/>
              <w:right w:val="nil"/>
            </w:tcBorders>
            <w:shd w:val="clear" w:color="auto" w:fill="FFFFFF"/>
            <w:vAlign w:val="center"/>
            <w:hideMark/>
          </w:tcPr>
          <w:p w14:paraId="238F1871" w14:textId="16F8B526"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outset" w:sz="6" w:space="0" w:color="auto"/>
              <w:left w:val="nil"/>
              <w:bottom w:val="nil"/>
              <w:right w:val="nil"/>
            </w:tcBorders>
            <w:hideMark/>
          </w:tcPr>
          <w:p w14:paraId="43A97427" w14:textId="5E4A2707"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bl>
    <w:p w14:paraId="7D6CC279"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351"/>
        <w:gridCol w:w="543"/>
        <w:gridCol w:w="2083"/>
        <w:gridCol w:w="1539"/>
        <w:gridCol w:w="1539"/>
      </w:tblGrid>
      <w:tr w:rsidR="00552341" w:rsidRPr="0014579E" w14:paraId="59CDE796" w14:textId="77777777" w:rsidTr="007C6371">
        <w:tc>
          <w:tcPr>
            <w:tcW w:w="1850" w:type="pct"/>
            <w:tcBorders>
              <w:top w:val="outset" w:sz="6" w:space="0" w:color="auto"/>
              <w:left w:val="outset" w:sz="6" w:space="0" w:color="auto"/>
              <w:bottom w:val="outset" w:sz="6" w:space="0" w:color="auto"/>
              <w:right w:val="outset" w:sz="6" w:space="0" w:color="auto"/>
            </w:tcBorders>
            <w:vAlign w:val="center"/>
            <w:hideMark/>
          </w:tcPr>
          <w:p w14:paraId="506D9D95"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14:paraId="18434043"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50" w:type="pct"/>
            <w:tcBorders>
              <w:top w:val="outset" w:sz="6" w:space="0" w:color="auto"/>
              <w:left w:val="outset" w:sz="6" w:space="0" w:color="auto"/>
              <w:bottom w:val="outset" w:sz="6" w:space="0" w:color="auto"/>
              <w:right w:val="outset" w:sz="6" w:space="0" w:color="auto"/>
            </w:tcBorders>
            <w:vAlign w:val="center"/>
            <w:hideMark/>
          </w:tcPr>
          <w:p w14:paraId="670509BA"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50" w:type="pct"/>
            <w:tcBorders>
              <w:top w:val="outset" w:sz="6" w:space="0" w:color="auto"/>
              <w:left w:val="outset" w:sz="6" w:space="0" w:color="auto"/>
              <w:bottom w:val="outset" w:sz="6" w:space="0" w:color="auto"/>
              <w:right w:val="outset" w:sz="6" w:space="0" w:color="auto"/>
            </w:tcBorders>
            <w:vAlign w:val="center"/>
            <w:hideMark/>
          </w:tcPr>
          <w:p w14:paraId="47531809"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552341" w:rsidRPr="0014579E" w14:paraId="05815B52" w14:textId="77777777" w:rsidTr="007C6371">
        <w:tc>
          <w:tcPr>
            <w:tcW w:w="1850" w:type="pct"/>
            <w:vMerge w:val="restart"/>
            <w:tcBorders>
              <w:top w:val="outset" w:sz="6" w:space="0" w:color="auto"/>
              <w:left w:val="outset" w:sz="6" w:space="0" w:color="auto"/>
              <w:bottom w:val="outset" w:sz="6" w:space="0" w:color="auto"/>
              <w:right w:val="outset" w:sz="6" w:space="0" w:color="auto"/>
            </w:tcBorders>
            <w:vAlign w:val="center"/>
            <w:hideMark/>
          </w:tcPr>
          <w:p w14:paraId="4B3A48EC" w14:textId="77777777" w:rsidR="00552341" w:rsidRPr="005C11B1" w:rsidRDefault="00552341" w:rsidP="007C63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Object of the State fee for the regulation of public utilities</w:t>
            </w:r>
          </w:p>
        </w:tc>
        <w:tc>
          <w:tcPr>
            <w:tcW w:w="300" w:type="pct"/>
            <w:tcBorders>
              <w:top w:val="outset" w:sz="6" w:space="0" w:color="auto"/>
              <w:left w:val="outset" w:sz="6" w:space="0" w:color="auto"/>
              <w:bottom w:val="outset" w:sz="6" w:space="0" w:color="auto"/>
              <w:right w:val="outset" w:sz="6" w:space="0" w:color="auto"/>
            </w:tcBorders>
            <w:hideMark/>
          </w:tcPr>
          <w:p w14:paraId="160C610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1150" w:type="pct"/>
            <w:tcBorders>
              <w:top w:val="outset" w:sz="6" w:space="0" w:color="auto"/>
              <w:left w:val="outset" w:sz="6" w:space="0" w:color="auto"/>
              <w:bottom w:val="outset" w:sz="6" w:space="0" w:color="auto"/>
              <w:right w:val="outset" w:sz="6" w:space="0" w:color="auto"/>
            </w:tcBorders>
            <w:hideMark/>
          </w:tcPr>
          <w:p w14:paraId="73F1F99D"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Payments received by the public electricity trader</w:t>
            </w:r>
            <w:r>
              <w:rPr>
                <w:rFonts w:ascii="Times New Roman" w:hAnsi="Times New Roman"/>
                <w:sz w:val="24"/>
              </w:rPr>
              <w:t xml:space="preserve"> (mark as appropriate)</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2501FA37" w14:textId="77777777" w:rsidR="00552341" w:rsidRPr="005C11B1" w:rsidRDefault="00552341" w:rsidP="007C63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rPr>
              <w:t>Rate of</w:t>
            </w:r>
            <w:r>
              <w:rPr>
                <w:rFonts w:ascii="Times New Roman" w:hAnsi="Times New Roman"/>
                <w:b/>
                <w:sz w:val="24"/>
              </w:rPr>
              <w:t xml:space="preserve"> </w:t>
            </w:r>
            <w:r>
              <w:rPr>
                <w:rFonts w:ascii="Times New Roman" w:hAnsi="Times New Roman"/>
                <w:b/>
                <w:bCs/>
                <w:sz w:val="24"/>
              </w:rPr>
              <w:t>State fee for the regulation of public utilities</w:t>
            </w:r>
            <w:r>
              <w:rPr>
                <w:rFonts w:ascii="Times New Roman" w:hAnsi="Times New Roman"/>
                <w:b/>
                <w:sz w:val="24"/>
              </w:rPr>
              <w:t xml:space="preserve"> (%)</w:t>
            </w:r>
          </w:p>
          <w:p w14:paraId="57E8E553"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1CB276B9"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Calculated State fee for the regulation of public utilities</w:t>
            </w:r>
            <w:r>
              <w:rPr>
                <w:rFonts w:ascii="Times New Roman" w:hAnsi="Times New Roman"/>
                <w:sz w:val="24"/>
              </w:rPr>
              <w:t xml:space="preserve"> (EUR)</w:t>
            </w:r>
          </w:p>
        </w:tc>
      </w:tr>
      <w:tr w:rsidR="00552341" w:rsidRPr="0014579E" w14:paraId="3F0B25A0" w14:textId="77777777" w:rsidTr="007C6371">
        <w:tc>
          <w:tcPr>
            <w:tcW w:w="1850" w:type="pct"/>
            <w:vMerge/>
            <w:tcBorders>
              <w:top w:val="outset" w:sz="6" w:space="0" w:color="auto"/>
              <w:left w:val="outset" w:sz="6" w:space="0" w:color="auto"/>
              <w:bottom w:val="outset" w:sz="6" w:space="0" w:color="auto"/>
              <w:right w:val="outset" w:sz="6" w:space="0" w:color="auto"/>
            </w:tcBorders>
            <w:vAlign w:val="center"/>
            <w:hideMark/>
          </w:tcPr>
          <w:p w14:paraId="4E991089"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611C370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B3D5AB9" wp14:editId="0BCE35C4">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outset" w:sz="6" w:space="0" w:color="auto"/>
              <w:left w:val="outset" w:sz="6" w:space="0" w:color="auto"/>
              <w:bottom w:val="outset" w:sz="6" w:space="0" w:color="auto"/>
              <w:right w:val="outset" w:sz="6" w:space="0" w:color="auto"/>
            </w:tcBorders>
            <w:hideMark/>
          </w:tcPr>
          <w:p w14:paraId="1276F60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Forecast payments in the </w:t>
            </w:r>
            <w:r>
              <w:rPr>
                <w:rFonts w:ascii="Times New Roman" w:hAnsi="Times New Roman"/>
                <w:b/>
                <w:bCs/>
                <w:sz w:val="24"/>
              </w:rPr>
              <w:t>previous</w:t>
            </w:r>
            <w:r>
              <w:rPr>
                <w:rFonts w:ascii="Times New Roman" w:hAnsi="Times New Roman"/>
                <w:sz w:val="24"/>
              </w:rPr>
              <w:t xml:space="preserve"> calendar year</w:t>
            </w: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78C9747C"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6386A23F"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35EA022" w14:textId="77777777" w:rsidTr="007C6371">
        <w:tc>
          <w:tcPr>
            <w:tcW w:w="1850" w:type="pct"/>
            <w:vMerge/>
            <w:tcBorders>
              <w:top w:val="outset" w:sz="6" w:space="0" w:color="auto"/>
              <w:left w:val="outset" w:sz="6" w:space="0" w:color="auto"/>
              <w:bottom w:val="outset" w:sz="6" w:space="0" w:color="auto"/>
              <w:right w:val="outset" w:sz="6" w:space="0" w:color="auto"/>
            </w:tcBorders>
            <w:vAlign w:val="center"/>
            <w:hideMark/>
          </w:tcPr>
          <w:p w14:paraId="29AF43B1"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43C4AB9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0F1496B" wp14:editId="439A3D9A">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outset" w:sz="6" w:space="0" w:color="auto"/>
              <w:left w:val="outset" w:sz="6" w:space="0" w:color="auto"/>
              <w:bottom w:val="outset" w:sz="6" w:space="0" w:color="auto"/>
              <w:right w:val="outset" w:sz="6" w:space="0" w:color="auto"/>
            </w:tcBorders>
            <w:hideMark/>
          </w:tcPr>
          <w:p w14:paraId="6AF805A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Actual payments in the </w:t>
            </w:r>
            <w:r>
              <w:rPr>
                <w:rFonts w:ascii="Times New Roman" w:hAnsi="Times New Roman"/>
                <w:b/>
                <w:bCs/>
                <w:sz w:val="24"/>
              </w:rPr>
              <w:t>previous</w:t>
            </w:r>
            <w:r>
              <w:rPr>
                <w:rFonts w:ascii="Times New Roman" w:hAnsi="Times New Roman"/>
                <w:sz w:val="24"/>
              </w:rPr>
              <w:t xml:space="preserve"> calendar year</w:t>
            </w: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47FE38FA"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7EDCB026"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8E49EE1" w14:textId="77777777" w:rsidTr="007C6371">
        <w:tc>
          <w:tcPr>
            <w:tcW w:w="1850" w:type="pct"/>
            <w:tcBorders>
              <w:top w:val="outset" w:sz="6" w:space="0" w:color="auto"/>
              <w:left w:val="outset" w:sz="6" w:space="0" w:color="auto"/>
              <w:bottom w:val="single" w:sz="6" w:space="0" w:color="auto"/>
              <w:right w:val="outset" w:sz="6" w:space="0" w:color="auto"/>
            </w:tcBorders>
            <w:shd w:val="clear" w:color="auto" w:fill="C0C0C0"/>
            <w:hideMark/>
          </w:tcPr>
          <w:p w14:paraId="10321BC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End-user payments received by the public electricity trader in the previous calendar year which compensate the public trader for the costs specified in Section 28, Paragraph five, Section 28.</w:t>
            </w:r>
            <w:r>
              <w:rPr>
                <w:rFonts w:ascii="Times New Roman" w:hAnsi="Times New Roman"/>
                <w:sz w:val="24"/>
                <w:vertAlign w:val="superscript"/>
              </w:rPr>
              <w:t>1</w:t>
            </w:r>
            <w:r>
              <w:rPr>
                <w:rFonts w:ascii="Times New Roman" w:hAnsi="Times New Roman"/>
                <w:sz w:val="24"/>
              </w:rPr>
              <w:t>, Paragraph four, Section 30, Paragraph three, Section 30.</w:t>
            </w:r>
            <w:r>
              <w:rPr>
                <w:rFonts w:ascii="Times New Roman" w:hAnsi="Times New Roman"/>
                <w:sz w:val="24"/>
                <w:vertAlign w:val="superscript"/>
              </w:rPr>
              <w:t>2</w:t>
            </w:r>
            <w:r>
              <w:rPr>
                <w:rFonts w:ascii="Times New Roman" w:hAnsi="Times New Roman"/>
                <w:sz w:val="24"/>
              </w:rPr>
              <w:t>, Paragraph three and Paragraph 53 of the Transitional Provisions of the Electricity Market Law</w:t>
            </w:r>
          </w:p>
        </w:tc>
        <w:tc>
          <w:tcPr>
            <w:tcW w:w="1450" w:type="pct"/>
            <w:gridSpan w:val="2"/>
            <w:tcBorders>
              <w:top w:val="outset" w:sz="6" w:space="0" w:color="auto"/>
              <w:left w:val="outset" w:sz="6" w:space="0" w:color="auto"/>
              <w:bottom w:val="single" w:sz="6" w:space="0" w:color="auto"/>
              <w:right w:val="outset" w:sz="6" w:space="0" w:color="auto"/>
            </w:tcBorders>
            <w:shd w:val="clear" w:color="auto" w:fill="C0C0C0"/>
            <w:hideMark/>
          </w:tcPr>
          <w:p w14:paraId="6D60A2FE" w14:textId="5F8CF12B"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outset" w:sz="6" w:space="0" w:color="auto"/>
              <w:left w:val="outset" w:sz="6" w:space="0" w:color="auto"/>
              <w:bottom w:val="single" w:sz="6" w:space="0" w:color="auto"/>
              <w:right w:val="outset" w:sz="6" w:space="0" w:color="auto"/>
            </w:tcBorders>
            <w:shd w:val="clear" w:color="auto" w:fill="C0C0C0"/>
            <w:vAlign w:val="center"/>
            <w:hideMark/>
          </w:tcPr>
          <w:p w14:paraId="2F59D439" w14:textId="77777777" w:rsidR="00552341" w:rsidRPr="005C11B1" w:rsidRDefault="00552341" w:rsidP="007C63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0.2</w:t>
            </w:r>
          </w:p>
        </w:tc>
        <w:tc>
          <w:tcPr>
            <w:tcW w:w="850" w:type="pct"/>
            <w:tcBorders>
              <w:top w:val="outset" w:sz="6" w:space="0" w:color="auto"/>
              <w:left w:val="outset" w:sz="6" w:space="0" w:color="auto"/>
              <w:bottom w:val="single" w:sz="6" w:space="0" w:color="auto"/>
              <w:right w:val="outset" w:sz="6" w:space="0" w:color="auto"/>
            </w:tcBorders>
            <w:shd w:val="clear" w:color="auto" w:fill="C0C0C0"/>
            <w:hideMark/>
          </w:tcPr>
          <w:p w14:paraId="242F628E" w14:textId="5DC82889"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3A5F190" w14:textId="77777777" w:rsidTr="007C6371">
        <w:tc>
          <w:tcPr>
            <w:tcW w:w="1850" w:type="pct"/>
            <w:tcBorders>
              <w:top w:val="outset" w:sz="6" w:space="0" w:color="auto"/>
              <w:left w:val="nil"/>
              <w:bottom w:val="nil"/>
              <w:right w:val="nil"/>
            </w:tcBorders>
            <w:shd w:val="clear" w:color="auto" w:fill="FFFFFF"/>
            <w:hideMark/>
          </w:tcPr>
          <w:p w14:paraId="05AFE78C" w14:textId="3D0CE2BA"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450" w:type="pct"/>
            <w:gridSpan w:val="2"/>
            <w:tcBorders>
              <w:top w:val="outset" w:sz="6" w:space="0" w:color="auto"/>
              <w:left w:val="nil"/>
              <w:bottom w:val="nil"/>
              <w:right w:val="nil"/>
            </w:tcBorders>
            <w:shd w:val="clear" w:color="auto" w:fill="FFFFFF"/>
            <w:hideMark/>
          </w:tcPr>
          <w:p w14:paraId="4852961D" w14:textId="3262C6D3"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outset" w:sz="6" w:space="0" w:color="auto"/>
              <w:left w:val="nil"/>
              <w:bottom w:val="nil"/>
              <w:right w:val="nil"/>
            </w:tcBorders>
            <w:shd w:val="clear" w:color="auto" w:fill="FFFFFF"/>
            <w:vAlign w:val="center"/>
            <w:hideMark/>
          </w:tcPr>
          <w:p w14:paraId="2355AF7A" w14:textId="62C7E64F"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c>
          <w:tcPr>
            <w:tcW w:w="850" w:type="pct"/>
            <w:tcBorders>
              <w:top w:val="outset" w:sz="6" w:space="0" w:color="auto"/>
              <w:left w:val="nil"/>
              <w:bottom w:val="nil"/>
              <w:right w:val="nil"/>
            </w:tcBorders>
            <w:shd w:val="clear" w:color="auto" w:fill="FFFFFF"/>
            <w:hideMark/>
          </w:tcPr>
          <w:p w14:paraId="2939A61A" w14:textId="29DB5D09" w:rsidR="00552341" w:rsidRPr="005C11B1" w:rsidRDefault="00552341" w:rsidP="007C6371">
            <w:pPr>
              <w:spacing w:after="0" w:line="240" w:lineRule="auto"/>
              <w:jc w:val="center"/>
              <w:rPr>
                <w:rFonts w:ascii="Times New Roman" w:eastAsia="Times New Roman" w:hAnsi="Times New Roman" w:cs="Times New Roman"/>
                <w:noProof/>
                <w:sz w:val="24"/>
                <w:szCs w:val="24"/>
                <w:lang w:eastAsia="lv-LV"/>
              </w:rPr>
            </w:pPr>
          </w:p>
        </w:tc>
      </w:tr>
    </w:tbl>
    <w:p w14:paraId="3030EB0B"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3"/>
        <w:gridCol w:w="130"/>
        <w:gridCol w:w="709"/>
        <w:gridCol w:w="676"/>
        <w:gridCol w:w="1244"/>
        <w:gridCol w:w="1017"/>
        <w:gridCol w:w="4302"/>
      </w:tblGrid>
      <w:tr w:rsidR="007C6371" w:rsidRPr="0014579E" w14:paraId="33CB9624" w14:textId="77777777" w:rsidTr="007C6371">
        <w:trPr>
          <w:jc w:val="center"/>
        </w:trPr>
        <w:tc>
          <w:tcPr>
            <w:tcW w:w="529" w:type="pct"/>
            <w:gridSpan w:val="2"/>
            <w:tcBorders>
              <w:top w:val="nil"/>
              <w:left w:val="nil"/>
              <w:bottom w:val="nil"/>
              <w:right w:val="nil"/>
            </w:tcBorders>
            <w:vAlign w:val="bottom"/>
            <w:hideMark/>
          </w:tcPr>
          <w:p w14:paraId="5FB5D4A5" w14:textId="77777777"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409" w:type="pct"/>
            <w:tcBorders>
              <w:top w:val="nil"/>
              <w:left w:val="nil"/>
              <w:bottom w:val="nil"/>
              <w:right w:val="nil"/>
            </w:tcBorders>
            <w:vAlign w:val="center"/>
            <w:hideMark/>
          </w:tcPr>
          <w:p w14:paraId="5DAB9B00" w14:textId="77777777"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391" w:type="pct"/>
            <w:tcBorders>
              <w:top w:val="nil"/>
              <w:left w:val="nil"/>
              <w:bottom w:val="nil"/>
              <w:right w:val="nil"/>
            </w:tcBorders>
            <w:vAlign w:val="center"/>
            <w:hideMark/>
          </w:tcPr>
          <w:p w14:paraId="1B663FC5" w14:textId="77777777"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704" w:type="pct"/>
            <w:tcBorders>
              <w:top w:val="nil"/>
              <w:left w:val="nil"/>
              <w:bottom w:val="nil"/>
              <w:right w:val="nil"/>
            </w:tcBorders>
            <w:vAlign w:val="center"/>
            <w:hideMark/>
          </w:tcPr>
          <w:p w14:paraId="3CA92A34" w14:textId="77777777"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 .</w:t>
            </w:r>
          </w:p>
        </w:tc>
        <w:tc>
          <w:tcPr>
            <w:tcW w:w="578" w:type="pct"/>
            <w:tcBorders>
              <w:top w:val="nil"/>
              <w:left w:val="nil"/>
              <w:bottom w:val="nil"/>
              <w:right w:val="nil"/>
            </w:tcBorders>
            <w:vAlign w:val="bottom"/>
            <w:hideMark/>
          </w:tcPr>
          <w:p w14:paraId="40C4EB3A" w14:textId="12724A8C"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nil"/>
              <w:left w:val="nil"/>
              <w:bottom w:val="nil"/>
              <w:right w:val="nil"/>
            </w:tcBorders>
            <w:vAlign w:val="center"/>
            <w:hideMark/>
          </w:tcPr>
          <w:p w14:paraId="5D80DDD8" w14:textId="45A291AF"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33289283" w14:textId="77777777" w:rsidTr="007C6371">
        <w:trPr>
          <w:jc w:val="center"/>
        </w:trPr>
        <w:tc>
          <w:tcPr>
            <w:tcW w:w="2611" w:type="pct"/>
            <w:gridSpan w:val="6"/>
            <w:tcBorders>
              <w:top w:val="nil"/>
              <w:left w:val="nil"/>
              <w:bottom w:val="nil"/>
              <w:right w:val="nil"/>
            </w:tcBorders>
            <w:hideMark/>
          </w:tcPr>
          <w:p w14:paraId="244BA16C" w14:textId="08BBC297"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nil"/>
              <w:left w:val="nil"/>
              <w:bottom w:val="nil"/>
              <w:right w:val="nil"/>
            </w:tcBorders>
            <w:hideMark/>
          </w:tcPr>
          <w:p w14:paraId="047C6482" w14:textId="2624D06E"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5E5683E6" w14:textId="77777777" w:rsidTr="007C6371">
        <w:trPr>
          <w:jc w:val="center"/>
        </w:trPr>
        <w:tc>
          <w:tcPr>
            <w:tcW w:w="2611" w:type="pct"/>
            <w:gridSpan w:val="6"/>
            <w:tcBorders>
              <w:top w:val="nil"/>
              <w:left w:val="nil"/>
              <w:bottom w:val="nil"/>
              <w:right w:val="nil"/>
            </w:tcBorders>
            <w:vAlign w:val="center"/>
            <w:hideMark/>
          </w:tcPr>
          <w:p w14:paraId="368989C7" w14:textId="1AFCE90D" w:rsidR="00552341" w:rsidRPr="005C11B1" w:rsidRDefault="00552341" w:rsidP="000A7AB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2389" w:type="pct"/>
            <w:tcBorders>
              <w:top w:val="nil"/>
              <w:left w:val="nil"/>
              <w:bottom w:val="single" w:sz="6" w:space="0" w:color="auto"/>
              <w:right w:val="nil"/>
            </w:tcBorders>
            <w:vAlign w:val="center"/>
            <w:hideMark/>
          </w:tcPr>
          <w:p w14:paraId="55775722" w14:textId="6D5CE0ED"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5E986C6A" w14:textId="77777777" w:rsidTr="007C6371">
        <w:trPr>
          <w:jc w:val="center"/>
        </w:trPr>
        <w:tc>
          <w:tcPr>
            <w:tcW w:w="2611" w:type="pct"/>
            <w:gridSpan w:val="6"/>
            <w:tcBorders>
              <w:top w:val="nil"/>
              <w:left w:val="nil"/>
              <w:bottom w:val="nil"/>
              <w:right w:val="nil"/>
            </w:tcBorders>
            <w:hideMark/>
          </w:tcPr>
          <w:p w14:paraId="380EF283" w14:textId="1F2DE38E"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outset" w:sz="6" w:space="0" w:color="auto"/>
              <w:left w:val="nil"/>
              <w:bottom w:val="nil"/>
              <w:right w:val="nil"/>
            </w:tcBorders>
            <w:hideMark/>
          </w:tcPr>
          <w:p w14:paraId="307A4AE8"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 thereof/</w:t>
            </w:r>
          </w:p>
        </w:tc>
      </w:tr>
      <w:tr w:rsidR="00552341" w:rsidRPr="0014579E" w14:paraId="7D668EE0" w14:textId="77777777" w:rsidTr="007C6371">
        <w:trPr>
          <w:jc w:val="center"/>
        </w:trPr>
        <w:tc>
          <w:tcPr>
            <w:tcW w:w="2611" w:type="pct"/>
            <w:gridSpan w:val="6"/>
            <w:tcBorders>
              <w:top w:val="nil"/>
              <w:left w:val="nil"/>
              <w:bottom w:val="single" w:sz="6" w:space="0" w:color="auto"/>
              <w:right w:val="nil"/>
            </w:tcBorders>
            <w:hideMark/>
          </w:tcPr>
          <w:p w14:paraId="1883F8F3" w14:textId="3E7F7103"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nil"/>
              <w:left w:val="nil"/>
              <w:bottom w:val="nil"/>
              <w:right w:val="nil"/>
            </w:tcBorders>
            <w:hideMark/>
          </w:tcPr>
          <w:p w14:paraId="19F23EF9" w14:textId="3A1F634C"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229A52A7" w14:textId="77777777" w:rsidTr="007C6371">
        <w:trPr>
          <w:jc w:val="center"/>
        </w:trPr>
        <w:tc>
          <w:tcPr>
            <w:tcW w:w="2611" w:type="pct"/>
            <w:gridSpan w:val="6"/>
            <w:tcBorders>
              <w:top w:val="outset" w:sz="6" w:space="0" w:color="auto"/>
              <w:left w:val="nil"/>
              <w:bottom w:val="nil"/>
              <w:right w:val="nil"/>
            </w:tcBorders>
            <w:hideMark/>
          </w:tcPr>
          <w:p w14:paraId="62841EF5" w14:textId="77777777" w:rsidR="00552341" w:rsidRPr="005C11B1" w:rsidRDefault="00552341" w:rsidP="007C63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/given name, surname of the person who prepared the document/</w:t>
            </w:r>
          </w:p>
        </w:tc>
        <w:tc>
          <w:tcPr>
            <w:tcW w:w="2389" w:type="pct"/>
            <w:tcBorders>
              <w:top w:val="nil"/>
              <w:left w:val="nil"/>
              <w:bottom w:val="nil"/>
              <w:right w:val="nil"/>
            </w:tcBorders>
            <w:hideMark/>
          </w:tcPr>
          <w:p w14:paraId="01A49950" w14:textId="613120F7"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7FAD5230" w14:textId="77777777" w:rsidTr="007C6371">
        <w:trPr>
          <w:jc w:val="center"/>
        </w:trPr>
        <w:tc>
          <w:tcPr>
            <w:tcW w:w="439" w:type="pct"/>
            <w:tcBorders>
              <w:top w:val="nil"/>
              <w:left w:val="nil"/>
              <w:bottom w:val="nil"/>
              <w:right w:val="nil"/>
            </w:tcBorders>
            <w:vAlign w:val="bottom"/>
            <w:hideMark/>
          </w:tcPr>
          <w:p w14:paraId="4E7A6DD4" w14:textId="77777777" w:rsidR="007C6371" w:rsidRDefault="007C6371" w:rsidP="007C6371">
            <w:pPr>
              <w:spacing w:after="0" w:line="240" w:lineRule="auto"/>
              <w:jc w:val="both"/>
              <w:rPr>
                <w:rFonts w:ascii="Times New Roman" w:eastAsia="Times New Roman" w:hAnsi="Times New Roman" w:cs="Times New Roman"/>
                <w:noProof/>
                <w:sz w:val="24"/>
                <w:szCs w:val="24"/>
                <w:lang w:eastAsia="lv-LV"/>
              </w:rPr>
            </w:pPr>
          </w:p>
          <w:p w14:paraId="15619A2D" w14:textId="42A852B9"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2172" w:type="pct"/>
            <w:gridSpan w:val="5"/>
            <w:tcBorders>
              <w:top w:val="nil"/>
              <w:left w:val="nil"/>
              <w:bottom w:val="single" w:sz="6" w:space="0" w:color="auto"/>
              <w:right w:val="nil"/>
            </w:tcBorders>
            <w:vAlign w:val="bottom"/>
            <w:hideMark/>
          </w:tcPr>
          <w:p w14:paraId="5C647697" w14:textId="34CA9313"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nil"/>
              <w:left w:val="nil"/>
              <w:bottom w:val="nil"/>
              <w:right w:val="nil"/>
            </w:tcBorders>
            <w:hideMark/>
          </w:tcPr>
          <w:p w14:paraId="152676EE" w14:textId="5A791698"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r w:rsidR="00552341" w:rsidRPr="0014579E" w14:paraId="24C0141F" w14:textId="77777777" w:rsidTr="007C6371">
        <w:trPr>
          <w:jc w:val="center"/>
        </w:trPr>
        <w:tc>
          <w:tcPr>
            <w:tcW w:w="439" w:type="pct"/>
            <w:tcBorders>
              <w:top w:val="nil"/>
              <w:left w:val="nil"/>
              <w:bottom w:val="nil"/>
              <w:right w:val="nil"/>
            </w:tcBorders>
            <w:vAlign w:val="bottom"/>
            <w:hideMark/>
          </w:tcPr>
          <w:p w14:paraId="3736F173" w14:textId="77777777" w:rsidR="00552341" w:rsidRPr="005C11B1" w:rsidRDefault="00552341" w:rsidP="007C637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w:t>
            </w:r>
          </w:p>
        </w:tc>
        <w:tc>
          <w:tcPr>
            <w:tcW w:w="2172" w:type="pct"/>
            <w:gridSpan w:val="5"/>
            <w:tcBorders>
              <w:top w:val="outset" w:sz="6" w:space="0" w:color="auto"/>
              <w:left w:val="nil"/>
              <w:bottom w:val="single" w:sz="6" w:space="0" w:color="auto"/>
              <w:right w:val="nil"/>
            </w:tcBorders>
            <w:vAlign w:val="bottom"/>
            <w:hideMark/>
          </w:tcPr>
          <w:p w14:paraId="51D9A5EA" w14:textId="7264A520"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c>
          <w:tcPr>
            <w:tcW w:w="2389" w:type="pct"/>
            <w:tcBorders>
              <w:top w:val="nil"/>
              <w:left w:val="nil"/>
              <w:bottom w:val="nil"/>
              <w:right w:val="nil"/>
            </w:tcBorders>
            <w:hideMark/>
          </w:tcPr>
          <w:p w14:paraId="25BED362" w14:textId="1A1FA9A6" w:rsidR="00552341" w:rsidRPr="005C11B1" w:rsidRDefault="00552341" w:rsidP="007C6371">
            <w:pPr>
              <w:spacing w:after="0" w:line="240" w:lineRule="auto"/>
              <w:jc w:val="both"/>
              <w:rPr>
                <w:rFonts w:ascii="Times New Roman" w:eastAsia="Times New Roman" w:hAnsi="Times New Roman" w:cs="Times New Roman"/>
                <w:noProof/>
                <w:sz w:val="24"/>
                <w:szCs w:val="24"/>
                <w:lang w:eastAsia="lv-LV"/>
              </w:rPr>
            </w:pPr>
          </w:p>
        </w:tc>
      </w:tr>
    </w:tbl>
    <w:p w14:paraId="06ED4F31" w14:textId="77777777" w:rsidR="007C6371" w:rsidRDefault="007C6371" w:rsidP="00413A2D">
      <w:pPr>
        <w:spacing w:after="0" w:line="240" w:lineRule="auto"/>
        <w:jc w:val="both"/>
        <w:rPr>
          <w:rFonts w:ascii="Times New Roman" w:eastAsia="Times New Roman" w:hAnsi="Times New Roman" w:cs="Times New Roman"/>
          <w:noProof/>
          <w:sz w:val="24"/>
          <w:szCs w:val="24"/>
          <w:lang w:eastAsia="lv-LV"/>
        </w:rPr>
      </w:pPr>
    </w:p>
    <w:p w14:paraId="77D0A19B" w14:textId="4BBC03DF" w:rsidR="0055234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Note. The details of the document “date” and “signature” shall not be completed, if the electronic document has been prepared in accordance with the laws and regulations regarding drawing up of electronic documents.</w:t>
      </w:r>
    </w:p>
    <w:p w14:paraId="5CF30611" w14:textId="77777777" w:rsidR="000A7ABE" w:rsidRDefault="000A7ABE" w:rsidP="00413A2D">
      <w:pPr>
        <w:spacing w:after="0" w:line="240" w:lineRule="auto"/>
        <w:jc w:val="both"/>
        <w:rPr>
          <w:rFonts w:ascii="Times New Roman" w:eastAsia="Times New Roman" w:hAnsi="Times New Roman" w:cs="Times New Roman"/>
          <w:noProof/>
          <w:sz w:val="24"/>
          <w:szCs w:val="24"/>
          <w:lang w:eastAsia="lv-LV"/>
        </w:rPr>
      </w:pPr>
    </w:p>
    <w:p w14:paraId="1B741331" w14:textId="77777777" w:rsidR="000A7ABE" w:rsidRPr="005C11B1" w:rsidRDefault="000A7ABE" w:rsidP="00413A2D">
      <w:pPr>
        <w:spacing w:after="0" w:line="240" w:lineRule="auto"/>
        <w:jc w:val="both"/>
        <w:rPr>
          <w:rFonts w:ascii="Times New Roman" w:eastAsia="Times New Roman" w:hAnsi="Times New Roman" w:cs="Times New Roman"/>
          <w:noProof/>
          <w:sz w:val="24"/>
          <w:szCs w:val="24"/>
          <w:lang w:eastAsia="lv-LV"/>
        </w:rPr>
      </w:pPr>
    </w:p>
    <w:p w14:paraId="19D4A7EE" w14:textId="668C2C33" w:rsidR="00552341" w:rsidRPr="005C11B1" w:rsidRDefault="00552341" w:rsidP="00E660E9">
      <w:pPr>
        <w:tabs>
          <w:tab w:val="left" w:pos="8222"/>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E660E9">
        <w:rPr>
          <w:rFonts w:ascii="Times New Roman" w:hAnsi="Times New Roman"/>
          <w:sz w:val="24"/>
        </w:rPr>
        <w:tab/>
      </w:r>
      <w:r>
        <w:rPr>
          <w:rFonts w:ascii="Times New Roman" w:hAnsi="Times New Roman"/>
          <w:sz w:val="24"/>
        </w:rPr>
        <w:t>R. Irklis</w:t>
      </w:r>
    </w:p>
    <w:p w14:paraId="769BFAEF" w14:textId="77777777" w:rsidR="000A7ABE" w:rsidRDefault="000A7ABE" w:rsidP="00413A2D">
      <w:pPr>
        <w:spacing w:after="0" w:line="240" w:lineRule="auto"/>
        <w:jc w:val="both"/>
        <w:rPr>
          <w:rFonts w:ascii="Times New Roman" w:eastAsia="Times New Roman" w:hAnsi="Times New Roman" w:cs="Times New Roman"/>
          <w:noProof/>
          <w:sz w:val="24"/>
          <w:szCs w:val="24"/>
          <w:lang w:eastAsia="lv-LV"/>
        </w:rPr>
      </w:pPr>
    </w:p>
    <w:p w14:paraId="0854DB3E" w14:textId="6BE91D0F" w:rsidR="000311F7" w:rsidRDefault="000311F7">
      <w:pPr>
        <w:rPr>
          <w:rFonts w:ascii="Times New Roman" w:eastAsia="Times New Roman" w:hAnsi="Times New Roman" w:cs="Times New Roman"/>
          <w:noProof/>
          <w:sz w:val="24"/>
          <w:szCs w:val="24"/>
        </w:rPr>
      </w:pPr>
      <w:r>
        <w:br w:type="page"/>
      </w:r>
    </w:p>
    <w:p w14:paraId="690CBB03" w14:textId="77777777" w:rsidR="000A7ABE" w:rsidRDefault="000A7ABE" w:rsidP="00413A2D">
      <w:pPr>
        <w:spacing w:after="0" w:line="240" w:lineRule="auto"/>
        <w:jc w:val="both"/>
        <w:rPr>
          <w:rFonts w:ascii="Times New Roman" w:eastAsia="Times New Roman" w:hAnsi="Times New Roman" w:cs="Times New Roman"/>
          <w:noProof/>
          <w:sz w:val="24"/>
          <w:szCs w:val="24"/>
          <w:lang w:eastAsia="lv-LV"/>
        </w:rPr>
      </w:pPr>
    </w:p>
    <w:p w14:paraId="5DF8235D" w14:textId="58F69F94" w:rsidR="00413A2D" w:rsidRPr="000311F7" w:rsidRDefault="00552341" w:rsidP="00031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0814E11F" w14:textId="77777777" w:rsidR="00413A2D" w:rsidRDefault="00552341" w:rsidP="00031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1/42 of the Public Utilities Commission</w:t>
      </w:r>
    </w:p>
    <w:p w14:paraId="0E3B093D" w14:textId="1371995B" w:rsidR="00552341" w:rsidRDefault="00552341" w:rsidP="00031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of 21 December 2017</w:t>
      </w:r>
      <w:bookmarkStart w:id="56" w:name="piel-783976"/>
      <w:bookmarkStart w:id="57" w:name="piel3"/>
      <w:bookmarkEnd w:id="56"/>
      <w:bookmarkEnd w:id="57"/>
    </w:p>
    <w:p w14:paraId="528DFAC4" w14:textId="77777777" w:rsidR="000311F7" w:rsidRDefault="000311F7" w:rsidP="00413A2D">
      <w:pPr>
        <w:spacing w:after="0" w:line="240" w:lineRule="auto"/>
        <w:jc w:val="both"/>
        <w:rPr>
          <w:rFonts w:ascii="Times New Roman" w:eastAsia="Times New Roman" w:hAnsi="Times New Roman" w:cs="Times New Roman"/>
          <w:noProof/>
          <w:sz w:val="24"/>
          <w:szCs w:val="24"/>
          <w:lang w:eastAsia="lv-LV"/>
        </w:rPr>
      </w:pPr>
    </w:p>
    <w:p w14:paraId="65D28315" w14:textId="77777777" w:rsidR="000311F7" w:rsidRPr="005C11B1" w:rsidRDefault="000311F7" w:rsidP="00413A2D">
      <w:pPr>
        <w:spacing w:after="0" w:line="240" w:lineRule="auto"/>
        <w:jc w:val="both"/>
        <w:rPr>
          <w:rFonts w:ascii="Times New Roman" w:eastAsia="Times New Roman" w:hAnsi="Times New Roman" w:cs="Times New Roman"/>
          <w:noProof/>
          <w:sz w:val="24"/>
          <w:szCs w:val="24"/>
          <w:lang w:eastAsia="lv-LV"/>
        </w:rPr>
      </w:pPr>
    </w:p>
    <w:p w14:paraId="09DE3058" w14:textId="77777777" w:rsidR="00552341" w:rsidRPr="005C11B1" w:rsidRDefault="00552341" w:rsidP="000311F7">
      <w:pPr>
        <w:spacing w:after="0" w:line="240" w:lineRule="auto"/>
        <w:jc w:val="center"/>
        <w:rPr>
          <w:rFonts w:ascii="Times New Roman" w:eastAsia="Times New Roman" w:hAnsi="Times New Roman" w:cs="Times New Roman"/>
          <w:b/>
          <w:bCs/>
          <w:noProof/>
          <w:sz w:val="28"/>
          <w:szCs w:val="28"/>
        </w:rPr>
      </w:pPr>
      <w:bookmarkStart w:id="58" w:name="783973"/>
      <w:bookmarkStart w:id="59" w:name="n-783973"/>
      <w:bookmarkEnd w:id="58"/>
      <w:bookmarkEnd w:id="59"/>
      <w:r>
        <w:rPr>
          <w:rFonts w:ascii="Times New Roman" w:hAnsi="Times New Roman"/>
          <w:b/>
          <w:sz w:val="28"/>
        </w:rPr>
        <w:t>Calculation of the Electricity System Owner’s State Fee for the Regulation of Public Utilities for the Year________________</w:t>
      </w:r>
    </w:p>
    <w:p w14:paraId="2BF168E0" w14:textId="77777777" w:rsidR="00552341" w:rsidRDefault="00552341" w:rsidP="000311F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May 2021]</w:t>
      </w:r>
    </w:p>
    <w:p w14:paraId="6B82F759" w14:textId="77777777" w:rsidR="000311F7" w:rsidRDefault="000311F7" w:rsidP="00413A2D">
      <w:pPr>
        <w:spacing w:after="0" w:line="240" w:lineRule="auto"/>
        <w:jc w:val="both"/>
        <w:rPr>
          <w:rFonts w:ascii="Times New Roman" w:eastAsia="Times New Roman" w:hAnsi="Times New Roman" w:cs="Times New Roman"/>
          <w:noProof/>
          <w:sz w:val="24"/>
          <w:szCs w:val="24"/>
          <w:lang w:eastAsia="lv-LV"/>
        </w:rPr>
      </w:pPr>
    </w:p>
    <w:p w14:paraId="3C752B3F" w14:textId="7608DD5C" w:rsidR="000311F7" w:rsidRDefault="000311F7">
      <w:pPr>
        <w:rPr>
          <w:rFonts w:ascii="Times New Roman" w:eastAsia="Times New Roman" w:hAnsi="Times New Roman" w:cs="Times New Roman"/>
          <w:noProof/>
          <w:sz w:val="24"/>
          <w:szCs w:val="24"/>
        </w:rPr>
      </w:pPr>
      <w:r>
        <w:br w:type="page"/>
      </w:r>
    </w:p>
    <w:p w14:paraId="4D210B95" w14:textId="77777777" w:rsidR="000311F7" w:rsidRPr="005C11B1" w:rsidRDefault="000311F7" w:rsidP="00413A2D">
      <w:pPr>
        <w:spacing w:after="0" w:line="240" w:lineRule="auto"/>
        <w:jc w:val="both"/>
        <w:rPr>
          <w:rFonts w:ascii="Times New Roman" w:eastAsia="Times New Roman" w:hAnsi="Times New Roman" w:cs="Times New Roman"/>
          <w:noProof/>
          <w:sz w:val="24"/>
          <w:szCs w:val="24"/>
          <w:lang w:eastAsia="lv-LV"/>
        </w:rPr>
      </w:pPr>
    </w:p>
    <w:p w14:paraId="282121A4" w14:textId="77777777" w:rsidR="00413A2D" w:rsidRPr="000311F7" w:rsidRDefault="00552341" w:rsidP="00031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1877C842" w14:textId="77777777" w:rsidR="00413A2D" w:rsidRDefault="00552341" w:rsidP="00031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1/42 of the Public Utilities Commission</w:t>
      </w:r>
    </w:p>
    <w:p w14:paraId="67512919" w14:textId="17B5D1A7" w:rsidR="00552341" w:rsidRPr="005C11B1" w:rsidRDefault="00552341" w:rsidP="00031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of 21 December 2017</w:t>
      </w:r>
      <w:bookmarkStart w:id="60" w:name="piel-783977"/>
      <w:bookmarkStart w:id="61" w:name="piel4"/>
      <w:bookmarkEnd w:id="60"/>
      <w:bookmarkEnd w:id="61"/>
    </w:p>
    <w:p w14:paraId="2FA2881D" w14:textId="77777777" w:rsidR="00552341" w:rsidRDefault="00552341" w:rsidP="00031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57144AA5" w14:textId="77777777" w:rsidR="000311F7" w:rsidRDefault="000311F7" w:rsidP="00413A2D">
      <w:pPr>
        <w:spacing w:after="0" w:line="240" w:lineRule="auto"/>
        <w:jc w:val="both"/>
        <w:rPr>
          <w:rFonts w:ascii="Times New Roman" w:eastAsia="Times New Roman" w:hAnsi="Times New Roman" w:cs="Times New Roman"/>
          <w:noProof/>
          <w:sz w:val="24"/>
          <w:szCs w:val="24"/>
          <w:lang w:eastAsia="lv-LV"/>
        </w:rPr>
      </w:pPr>
    </w:p>
    <w:p w14:paraId="1F101ED8" w14:textId="77777777" w:rsidR="000311F7" w:rsidRPr="005C11B1" w:rsidRDefault="000311F7" w:rsidP="00413A2D">
      <w:pPr>
        <w:spacing w:after="0" w:line="240" w:lineRule="auto"/>
        <w:jc w:val="both"/>
        <w:rPr>
          <w:rFonts w:ascii="Times New Roman" w:eastAsia="Times New Roman" w:hAnsi="Times New Roman" w:cs="Times New Roman"/>
          <w:noProof/>
          <w:sz w:val="24"/>
          <w:szCs w:val="24"/>
          <w:lang w:eastAsia="lv-LV"/>
        </w:rPr>
      </w:pPr>
    </w:p>
    <w:p w14:paraId="094C86D2" w14:textId="0A21C6FB" w:rsidR="00552341" w:rsidRPr="000311F7" w:rsidRDefault="00552341" w:rsidP="000311F7">
      <w:pPr>
        <w:spacing w:after="0" w:line="240" w:lineRule="auto"/>
        <w:jc w:val="center"/>
        <w:rPr>
          <w:rFonts w:ascii="Times New Roman" w:eastAsia="Times New Roman" w:hAnsi="Times New Roman" w:cs="Times New Roman"/>
          <w:b/>
          <w:bCs/>
          <w:noProof/>
          <w:sz w:val="28"/>
          <w:szCs w:val="28"/>
        </w:rPr>
      </w:pPr>
      <w:bookmarkStart w:id="62" w:name="783978"/>
      <w:bookmarkStart w:id="63" w:name="n-783978"/>
      <w:bookmarkEnd w:id="62"/>
      <w:bookmarkEnd w:id="63"/>
      <w:r>
        <w:rPr>
          <w:rFonts w:ascii="Times New Roman" w:hAnsi="Times New Roman"/>
          <w:b/>
          <w:sz w:val="28"/>
        </w:rPr>
        <w:t>Calculation of the Deposit System Operator’s State Fee for the Regulation of Public Utilities for the Year__________</w:t>
      </w:r>
    </w:p>
    <w:p w14:paraId="11E2EC5D" w14:textId="77777777" w:rsidR="000311F7" w:rsidRDefault="000311F7" w:rsidP="00413A2D">
      <w:pPr>
        <w:spacing w:after="0" w:line="240" w:lineRule="auto"/>
        <w:jc w:val="both"/>
        <w:rPr>
          <w:rFonts w:ascii="Times New Roman" w:eastAsia="Times New Roman" w:hAnsi="Times New Roman" w:cs="Times New Roman"/>
          <w:noProof/>
          <w:sz w:val="24"/>
          <w:szCs w:val="24"/>
          <w:lang w:eastAsia="lv-LV"/>
        </w:rPr>
      </w:pPr>
    </w:p>
    <w:p w14:paraId="0FB95AE0" w14:textId="77777777" w:rsidR="000311F7" w:rsidRPr="005C11B1" w:rsidRDefault="000311F7" w:rsidP="00413A2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45"/>
        <w:gridCol w:w="4810"/>
      </w:tblGrid>
      <w:tr w:rsidR="00552341" w:rsidRPr="0014579E" w14:paraId="3D997A8E" w14:textId="77777777" w:rsidTr="00C0554B">
        <w:tc>
          <w:tcPr>
            <w:tcW w:w="2344"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57DCE84D"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the deposit system operator</w:t>
            </w:r>
          </w:p>
        </w:tc>
        <w:tc>
          <w:tcPr>
            <w:tcW w:w="2656" w:type="pct"/>
            <w:tcBorders>
              <w:top w:val="outset" w:sz="6" w:space="0" w:color="auto"/>
              <w:left w:val="outset" w:sz="6" w:space="0" w:color="auto"/>
              <w:bottom w:val="outset" w:sz="6" w:space="0" w:color="auto"/>
              <w:right w:val="outset" w:sz="6" w:space="0" w:color="auto"/>
            </w:tcBorders>
            <w:hideMark/>
          </w:tcPr>
          <w:p w14:paraId="50C8ACC9" w14:textId="630E4B00"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09743350" w14:textId="77777777" w:rsidTr="00C0554B">
        <w:tc>
          <w:tcPr>
            <w:tcW w:w="2344"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3FF63C4"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Unified registration number</w:t>
            </w:r>
          </w:p>
        </w:tc>
        <w:tc>
          <w:tcPr>
            <w:tcW w:w="2656" w:type="pct"/>
            <w:tcBorders>
              <w:top w:val="outset" w:sz="6" w:space="0" w:color="auto"/>
              <w:left w:val="outset" w:sz="6" w:space="0" w:color="auto"/>
              <w:bottom w:val="outset" w:sz="6" w:space="0" w:color="auto"/>
              <w:right w:val="outset" w:sz="6" w:space="0" w:color="auto"/>
            </w:tcBorders>
            <w:hideMark/>
          </w:tcPr>
          <w:p w14:paraId="37A3294D" w14:textId="366037A3"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6F373D77" w14:textId="77777777" w:rsidTr="00C0554B">
        <w:tc>
          <w:tcPr>
            <w:tcW w:w="2344"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49E12A5A"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Restricted access information (mark as appropriate)</w:t>
            </w:r>
          </w:p>
        </w:tc>
        <w:tc>
          <w:tcPr>
            <w:tcW w:w="2656" w:type="pct"/>
            <w:tcBorders>
              <w:top w:val="outset" w:sz="6" w:space="0" w:color="auto"/>
              <w:left w:val="outset" w:sz="6" w:space="0" w:color="auto"/>
              <w:bottom w:val="outset" w:sz="6" w:space="0" w:color="auto"/>
              <w:right w:val="outset" w:sz="6" w:space="0" w:color="auto"/>
            </w:tcBorders>
            <w:hideMark/>
          </w:tcPr>
          <w:p w14:paraId="5E229191"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F3A0B7A" wp14:editId="40D6EDAF">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2341" w:rsidRPr="0014579E" w14:paraId="2B23B83B" w14:textId="77777777" w:rsidTr="00C0554B">
        <w:tc>
          <w:tcPr>
            <w:tcW w:w="2344" w:type="pct"/>
            <w:tcBorders>
              <w:top w:val="outset" w:sz="6" w:space="0" w:color="auto"/>
              <w:left w:val="outset" w:sz="6" w:space="0" w:color="auto"/>
              <w:bottom w:val="single" w:sz="6" w:space="0" w:color="auto"/>
              <w:right w:val="outset" w:sz="6" w:space="0" w:color="auto"/>
            </w:tcBorders>
            <w:shd w:val="clear" w:color="auto" w:fill="C0C0C0"/>
            <w:vAlign w:val="center"/>
            <w:hideMark/>
          </w:tcPr>
          <w:p w14:paraId="353DFD9C"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Grounds of the deposit system operator for determining the status of restricted access</w:t>
            </w:r>
          </w:p>
        </w:tc>
        <w:tc>
          <w:tcPr>
            <w:tcW w:w="2656" w:type="pct"/>
            <w:tcBorders>
              <w:top w:val="outset" w:sz="6" w:space="0" w:color="auto"/>
              <w:left w:val="outset" w:sz="6" w:space="0" w:color="auto"/>
              <w:bottom w:val="outset" w:sz="6" w:space="0" w:color="auto"/>
              <w:right w:val="outset" w:sz="6" w:space="0" w:color="auto"/>
            </w:tcBorders>
            <w:hideMark/>
          </w:tcPr>
          <w:p w14:paraId="26371B6C" w14:textId="24432CA0"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2DC66F43" w14:textId="77777777" w:rsidTr="00403B26">
        <w:tc>
          <w:tcPr>
            <w:tcW w:w="5000" w:type="pct"/>
            <w:gridSpan w:val="2"/>
            <w:tcBorders>
              <w:top w:val="nil"/>
              <w:left w:val="nil"/>
              <w:bottom w:val="nil"/>
              <w:right w:val="nil"/>
            </w:tcBorders>
            <w:vAlign w:val="center"/>
            <w:hideMark/>
          </w:tcPr>
          <w:p w14:paraId="145F798A" w14:textId="563A89C1"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r>
    </w:tbl>
    <w:p w14:paraId="30A725CC"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441"/>
        <w:gridCol w:w="543"/>
        <w:gridCol w:w="2083"/>
        <w:gridCol w:w="1449"/>
        <w:gridCol w:w="1539"/>
      </w:tblGrid>
      <w:tr w:rsidR="00552341" w:rsidRPr="0014579E" w14:paraId="4747304C" w14:textId="77777777" w:rsidTr="00C0554B">
        <w:tc>
          <w:tcPr>
            <w:tcW w:w="1900" w:type="pct"/>
            <w:tcBorders>
              <w:top w:val="outset" w:sz="6" w:space="0" w:color="auto"/>
              <w:left w:val="outset" w:sz="6" w:space="0" w:color="auto"/>
              <w:bottom w:val="outset" w:sz="6" w:space="0" w:color="auto"/>
              <w:right w:val="outset" w:sz="6" w:space="0" w:color="auto"/>
            </w:tcBorders>
            <w:vAlign w:val="center"/>
            <w:hideMark/>
          </w:tcPr>
          <w:p w14:paraId="1761CF64"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14:paraId="1E5DDF5C"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00" w:type="pct"/>
            <w:tcBorders>
              <w:top w:val="outset" w:sz="6" w:space="0" w:color="auto"/>
              <w:left w:val="outset" w:sz="6" w:space="0" w:color="auto"/>
              <w:bottom w:val="outset" w:sz="6" w:space="0" w:color="auto"/>
              <w:right w:val="outset" w:sz="6" w:space="0" w:color="auto"/>
            </w:tcBorders>
            <w:vAlign w:val="center"/>
            <w:hideMark/>
          </w:tcPr>
          <w:p w14:paraId="124E9076"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50" w:type="pct"/>
            <w:tcBorders>
              <w:top w:val="outset" w:sz="6" w:space="0" w:color="auto"/>
              <w:left w:val="outset" w:sz="6" w:space="0" w:color="auto"/>
              <w:bottom w:val="outset" w:sz="6" w:space="0" w:color="auto"/>
              <w:right w:val="outset" w:sz="6" w:space="0" w:color="auto"/>
            </w:tcBorders>
            <w:vAlign w:val="center"/>
            <w:hideMark/>
          </w:tcPr>
          <w:p w14:paraId="6B08AFA5"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552341" w:rsidRPr="0014579E" w14:paraId="2A404261" w14:textId="77777777" w:rsidTr="00C0554B">
        <w:tc>
          <w:tcPr>
            <w:tcW w:w="1900" w:type="pct"/>
            <w:vMerge w:val="restart"/>
            <w:tcBorders>
              <w:top w:val="outset" w:sz="6" w:space="0" w:color="auto"/>
              <w:left w:val="outset" w:sz="6" w:space="0" w:color="auto"/>
              <w:bottom w:val="outset" w:sz="6" w:space="0" w:color="auto"/>
              <w:right w:val="outset" w:sz="6" w:space="0" w:color="auto"/>
            </w:tcBorders>
            <w:vAlign w:val="center"/>
            <w:hideMark/>
          </w:tcPr>
          <w:p w14:paraId="1114A80F" w14:textId="77777777" w:rsidR="00552341" w:rsidRPr="005C11B1" w:rsidRDefault="00552341" w:rsidP="00C05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Object of the State fee for the regulation of public utilities</w:t>
            </w:r>
          </w:p>
        </w:tc>
        <w:tc>
          <w:tcPr>
            <w:tcW w:w="300" w:type="pct"/>
            <w:tcBorders>
              <w:top w:val="outset" w:sz="6" w:space="0" w:color="auto"/>
              <w:left w:val="outset" w:sz="6" w:space="0" w:color="auto"/>
              <w:bottom w:val="outset" w:sz="6" w:space="0" w:color="auto"/>
              <w:right w:val="outset" w:sz="6" w:space="0" w:color="auto"/>
            </w:tcBorders>
            <w:hideMark/>
          </w:tcPr>
          <w:p w14:paraId="607FEFC2" w14:textId="3DA1B4C6" w:rsidR="00552341" w:rsidRPr="005C11B1" w:rsidRDefault="00552341" w:rsidP="00413A2D">
            <w:pPr>
              <w:spacing w:after="0" w:line="240" w:lineRule="auto"/>
              <w:jc w:val="both"/>
              <w:rPr>
                <w:rFonts w:ascii="Times New Roman" w:eastAsia="Times New Roman" w:hAnsi="Times New Roman" w:cs="Times New Roman"/>
                <w:noProof/>
                <w:sz w:val="24"/>
                <w:szCs w:val="24"/>
                <w:lang w:eastAsia="lv-LV"/>
              </w:rPr>
            </w:pPr>
          </w:p>
        </w:tc>
        <w:tc>
          <w:tcPr>
            <w:tcW w:w="1150" w:type="pct"/>
            <w:tcBorders>
              <w:top w:val="outset" w:sz="6" w:space="0" w:color="auto"/>
              <w:left w:val="outset" w:sz="6" w:space="0" w:color="auto"/>
              <w:bottom w:val="outset" w:sz="6" w:space="0" w:color="auto"/>
              <w:right w:val="outset" w:sz="6" w:space="0" w:color="auto"/>
            </w:tcBorders>
            <w:hideMark/>
          </w:tcPr>
          <w:p w14:paraId="271DDB0A" w14:textId="77777777" w:rsidR="00552341" w:rsidRPr="005C11B1" w:rsidRDefault="00552341" w:rsidP="00C05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Amount of deposit payment received by the deposit system operator</w:t>
            </w:r>
          </w:p>
          <w:p w14:paraId="3F68E83F"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(mark as appropriate)</w:t>
            </w:r>
          </w:p>
        </w:tc>
        <w:tc>
          <w:tcPr>
            <w:tcW w:w="800" w:type="pct"/>
            <w:vMerge w:val="restart"/>
            <w:tcBorders>
              <w:top w:val="outset" w:sz="6" w:space="0" w:color="auto"/>
              <w:left w:val="outset" w:sz="6" w:space="0" w:color="auto"/>
              <w:bottom w:val="outset" w:sz="6" w:space="0" w:color="auto"/>
              <w:right w:val="outset" w:sz="6" w:space="0" w:color="auto"/>
            </w:tcBorders>
            <w:vAlign w:val="center"/>
            <w:hideMark/>
          </w:tcPr>
          <w:p w14:paraId="36A29C05" w14:textId="77777777" w:rsidR="00552341" w:rsidRPr="005C11B1" w:rsidRDefault="00552341" w:rsidP="00C05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rPr>
              <w:t>Rate of</w:t>
            </w:r>
            <w:r>
              <w:rPr>
                <w:rFonts w:ascii="Times New Roman" w:hAnsi="Times New Roman"/>
                <w:b/>
                <w:sz w:val="24"/>
              </w:rPr>
              <w:t xml:space="preserve"> </w:t>
            </w:r>
            <w:r>
              <w:rPr>
                <w:rFonts w:ascii="Times New Roman" w:hAnsi="Times New Roman"/>
                <w:b/>
                <w:bCs/>
                <w:sz w:val="24"/>
              </w:rPr>
              <w:t>State fee for the regulation of public utilities</w:t>
            </w:r>
          </w:p>
          <w:p w14:paraId="17482B35"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46AE5D5B"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rPr>
              <w:t>Calculated State fee for the regulation of public utilities</w:t>
            </w:r>
            <w:r>
              <w:rPr>
                <w:rFonts w:ascii="Times New Roman" w:hAnsi="Times New Roman"/>
                <w:sz w:val="24"/>
              </w:rPr>
              <w:t xml:space="preserve"> (EUR)</w:t>
            </w:r>
          </w:p>
        </w:tc>
      </w:tr>
      <w:tr w:rsidR="00552341" w:rsidRPr="0014579E" w14:paraId="0B2C14DC" w14:textId="77777777" w:rsidTr="00C0554B">
        <w:tc>
          <w:tcPr>
            <w:tcW w:w="1900" w:type="pct"/>
            <w:vMerge/>
            <w:tcBorders>
              <w:top w:val="outset" w:sz="6" w:space="0" w:color="auto"/>
              <w:left w:val="outset" w:sz="6" w:space="0" w:color="auto"/>
              <w:bottom w:val="outset" w:sz="6" w:space="0" w:color="auto"/>
              <w:right w:val="outset" w:sz="6" w:space="0" w:color="auto"/>
            </w:tcBorders>
            <w:vAlign w:val="center"/>
            <w:hideMark/>
          </w:tcPr>
          <w:p w14:paraId="7E3F404D"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5B92CB99"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0692C6B" wp14:editId="2DD9B02E">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outset" w:sz="6" w:space="0" w:color="auto"/>
              <w:left w:val="outset" w:sz="6" w:space="0" w:color="auto"/>
              <w:bottom w:val="outset" w:sz="6" w:space="0" w:color="auto"/>
              <w:right w:val="outset" w:sz="6" w:space="0" w:color="auto"/>
            </w:tcBorders>
            <w:hideMark/>
          </w:tcPr>
          <w:p w14:paraId="29998FB7"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Planned amount of deposit fee received in the </w:t>
            </w:r>
            <w:r>
              <w:rPr>
                <w:rFonts w:ascii="Times New Roman" w:hAnsi="Times New Roman"/>
                <w:b/>
                <w:bCs/>
                <w:sz w:val="24"/>
              </w:rPr>
              <w:t>first</w:t>
            </w:r>
            <w:r>
              <w:rPr>
                <w:rFonts w:ascii="Times New Roman" w:hAnsi="Times New Roman"/>
                <w:sz w:val="24"/>
              </w:rPr>
              <w:t xml:space="preserve"> calendar year of the provision of public utilities</w:t>
            </w:r>
          </w:p>
        </w:tc>
        <w:tc>
          <w:tcPr>
            <w:tcW w:w="800" w:type="pct"/>
            <w:vMerge/>
            <w:tcBorders>
              <w:top w:val="outset" w:sz="6" w:space="0" w:color="auto"/>
              <w:left w:val="outset" w:sz="6" w:space="0" w:color="auto"/>
              <w:bottom w:val="outset" w:sz="6" w:space="0" w:color="auto"/>
              <w:right w:val="outset" w:sz="6" w:space="0" w:color="auto"/>
            </w:tcBorders>
            <w:vAlign w:val="center"/>
            <w:hideMark/>
          </w:tcPr>
          <w:p w14:paraId="032B1EE0"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284C1E1D"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AA25EC9" w14:textId="77777777" w:rsidTr="00C0554B">
        <w:tc>
          <w:tcPr>
            <w:tcW w:w="1900" w:type="pct"/>
            <w:vMerge/>
            <w:tcBorders>
              <w:top w:val="outset" w:sz="6" w:space="0" w:color="auto"/>
              <w:left w:val="outset" w:sz="6" w:space="0" w:color="auto"/>
              <w:bottom w:val="outset" w:sz="6" w:space="0" w:color="auto"/>
              <w:right w:val="outset" w:sz="6" w:space="0" w:color="auto"/>
            </w:tcBorders>
            <w:vAlign w:val="center"/>
            <w:hideMark/>
          </w:tcPr>
          <w:p w14:paraId="3528E9A1"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7D9797AE"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348AE1A" wp14:editId="664BE9AB">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outset" w:sz="6" w:space="0" w:color="auto"/>
              <w:left w:val="outset" w:sz="6" w:space="0" w:color="auto"/>
              <w:bottom w:val="outset" w:sz="6" w:space="0" w:color="auto"/>
              <w:right w:val="outset" w:sz="6" w:space="0" w:color="auto"/>
            </w:tcBorders>
            <w:hideMark/>
          </w:tcPr>
          <w:p w14:paraId="3BA2F861"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Forecast amount of the deposit fee received in the </w:t>
            </w:r>
            <w:r>
              <w:rPr>
                <w:rFonts w:ascii="Times New Roman" w:hAnsi="Times New Roman"/>
                <w:b/>
                <w:bCs/>
                <w:sz w:val="24"/>
              </w:rPr>
              <w:t>previous</w:t>
            </w:r>
            <w:r>
              <w:rPr>
                <w:rFonts w:ascii="Times New Roman" w:hAnsi="Times New Roman"/>
                <w:sz w:val="24"/>
              </w:rPr>
              <w:t xml:space="preserve"> calendar year</w:t>
            </w:r>
          </w:p>
        </w:tc>
        <w:tc>
          <w:tcPr>
            <w:tcW w:w="800" w:type="pct"/>
            <w:vMerge/>
            <w:tcBorders>
              <w:top w:val="outset" w:sz="6" w:space="0" w:color="auto"/>
              <w:left w:val="outset" w:sz="6" w:space="0" w:color="auto"/>
              <w:bottom w:val="outset" w:sz="6" w:space="0" w:color="auto"/>
              <w:right w:val="outset" w:sz="6" w:space="0" w:color="auto"/>
            </w:tcBorders>
            <w:vAlign w:val="center"/>
            <w:hideMark/>
          </w:tcPr>
          <w:p w14:paraId="761F78FA"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3071038F"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56E618B6" w14:textId="77777777" w:rsidTr="00C0554B">
        <w:tc>
          <w:tcPr>
            <w:tcW w:w="1900" w:type="pct"/>
            <w:vMerge/>
            <w:tcBorders>
              <w:top w:val="outset" w:sz="6" w:space="0" w:color="auto"/>
              <w:left w:val="outset" w:sz="6" w:space="0" w:color="auto"/>
              <w:bottom w:val="outset" w:sz="6" w:space="0" w:color="auto"/>
              <w:right w:val="outset" w:sz="6" w:space="0" w:color="auto"/>
            </w:tcBorders>
            <w:vAlign w:val="center"/>
            <w:hideMark/>
          </w:tcPr>
          <w:p w14:paraId="421B3D0E"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lang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2A021BA0"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950373E" wp14:editId="6563EB23">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150" w:type="pct"/>
            <w:tcBorders>
              <w:top w:val="outset" w:sz="6" w:space="0" w:color="auto"/>
              <w:left w:val="outset" w:sz="6" w:space="0" w:color="auto"/>
              <w:bottom w:val="outset" w:sz="6" w:space="0" w:color="auto"/>
              <w:right w:val="outset" w:sz="6" w:space="0" w:color="auto"/>
            </w:tcBorders>
            <w:hideMark/>
          </w:tcPr>
          <w:p w14:paraId="2DEAA54A"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Actual amount of the deposit fee received in the </w:t>
            </w:r>
            <w:r>
              <w:rPr>
                <w:rFonts w:ascii="Times New Roman" w:hAnsi="Times New Roman"/>
                <w:b/>
                <w:bCs/>
                <w:sz w:val="24"/>
              </w:rPr>
              <w:t>previous</w:t>
            </w:r>
            <w:r>
              <w:rPr>
                <w:rFonts w:ascii="Times New Roman" w:hAnsi="Times New Roman"/>
                <w:sz w:val="24"/>
              </w:rPr>
              <w:t xml:space="preserve"> calendar year</w:t>
            </w:r>
          </w:p>
        </w:tc>
        <w:tc>
          <w:tcPr>
            <w:tcW w:w="800" w:type="pct"/>
            <w:vMerge/>
            <w:tcBorders>
              <w:top w:val="outset" w:sz="6" w:space="0" w:color="auto"/>
              <w:left w:val="outset" w:sz="6" w:space="0" w:color="auto"/>
              <w:bottom w:val="outset" w:sz="6" w:space="0" w:color="auto"/>
              <w:right w:val="outset" w:sz="6" w:space="0" w:color="auto"/>
            </w:tcBorders>
            <w:vAlign w:val="center"/>
            <w:hideMark/>
          </w:tcPr>
          <w:p w14:paraId="1DD3CB65"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c>
          <w:tcPr>
            <w:tcW w:w="850" w:type="pct"/>
            <w:vMerge/>
            <w:tcBorders>
              <w:top w:val="outset" w:sz="6" w:space="0" w:color="auto"/>
              <w:left w:val="outset" w:sz="6" w:space="0" w:color="auto"/>
              <w:bottom w:val="outset" w:sz="6" w:space="0" w:color="auto"/>
              <w:right w:val="outset" w:sz="6" w:space="0" w:color="auto"/>
            </w:tcBorders>
            <w:vAlign w:val="center"/>
            <w:hideMark/>
          </w:tcPr>
          <w:p w14:paraId="612EAE6B"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4C3A7D7F" w14:textId="77777777" w:rsidTr="00C0554B">
        <w:tc>
          <w:tcPr>
            <w:tcW w:w="1900" w:type="pct"/>
            <w:tcBorders>
              <w:top w:val="outset" w:sz="6" w:space="0" w:color="auto"/>
              <w:left w:val="outset" w:sz="6" w:space="0" w:color="auto"/>
              <w:bottom w:val="outset" w:sz="6" w:space="0" w:color="auto"/>
              <w:right w:val="outset" w:sz="6" w:space="0" w:color="auto"/>
            </w:tcBorders>
            <w:shd w:val="clear" w:color="auto" w:fill="C0C0C0"/>
            <w:hideMark/>
          </w:tcPr>
          <w:p w14:paraId="544ECFCA" w14:textId="77777777" w:rsidR="00552341" w:rsidRPr="005C11B1" w:rsidRDefault="00552341" w:rsidP="00413A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Deposit fee received by the deposit system operator in the previous calendar year</w:t>
            </w:r>
          </w:p>
        </w:tc>
        <w:tc>
          <w:tcPr>
            <w:tcW w:w="1450" w:type="pct"/>
            <w:gridSpan w:val="2"/>
            <w:tcBorders>
              <w:top w:val="outset" w:sz="6" w:space="0" w:color="auto"/>
              <w:left w:val="outset" w:sz="6" w:space="0" w:color="auto"/>
              <w:bottom w:val="outset" w:sz="6" w:space="0" w:color="auto"/>
              <w:right w:val="outset" w:sz="6" w:space="0" w:color="auto"/>
            </w:tcBorders>
            <w:shd w:val="clear" w:color="auto" w:fill="C0C0C0"/>
            <w:hideMark/>
          </w:tcPr>
          <w:p w14:paraId="6E8651C5" w14:textId="77777777"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800" w:type="pct"/>
            <w:tcBorders>
              <w:top w:val="outset" w:sz="6" w:space="0" w:color="auto"/>
              <w:left w:val="outset" w:sz="6" w:space="0" w:color="auto"/>
              <w:bottom w:val="outset" w:sz="6" w:space="0" w:color="auto"/>
              <w:right w:val="outset" w:sz="6" w:space="0" w:color="auto"/>
            </w:tcBorders>
            <w:shd w:val="clear" w:color="auto" w:fill="C0C0C0"/>
            <w:vAlign w:val="center"/>
            <w:hideMark/>
          </w:tcPr>
          <w:p w14:paraId="31FBE728" w14:textId="77777777" w:rsidR="00552341" w:rsidRPr="005C11B1" w:rsidRDefault="00552341" w:rsidP="00C055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0.2</w:t>
            </w:r>
          </w:p>
        </w:tc>
        <w:tc>
          <w:tcPr>
            <w:tcW w:w="850" w:type="pct"/>
            <w:tcBorders>
              <w:top w:val="outset" w:sz="6" w:space="0" w:color="auto"/>
              <w:left w:val="outset" w:sz="6" w:space="0" w:color="auto"/>
              <w:bottom w:val="outset" w:sz="6" w:space="0" w:color="auto"/>
              <w:right w:val="outset" w:sz="6" w:space="0" w:color="auto"/>
            </w:tcBorders>
            <w:shd w:val="clear" w:color="auto" w:fill="C0C0C0"/>
            <w:hideMark/>
          </w:tcPr>
          <w:p w14:paraId="27DFB549" w14:textId="7FA0D948"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r w:rsidR="00552341" w:rsidRPr="0014579E" w14:paraId="7D705E55" w14:textId="77777777" w:rsidTr="00C0554B">
        <w:tc>
          <w:tcPr>
            <w:tcW w:w="5000" w:type="pct"/>
            <w:gridSpan w:val="5"/>
            <w:tcBorders>
              <w:top w:val="nil"/>
              <w:left w:val="nil"/>
              <w:bottom w:val="nil"/>
              <w:right w:val="nil"/>
            </w:tcBorders>
            <w:shd w:val="clear" w:color="auto" w:fill="FFFFFF"/>
            <w:hideMark/>
          </w:tcPr>
          <w:p w14:paraId="7AED5204" w14:textId="58BC98B0" w:rsidR="00552341" w:rsidRPr="005C11B1" w:rsidRDefault="00552341" w:rsidP="00C0554B">
            <w:pPr>
              <w:spacing w:after="0" w:line="240" w:lineRule="auto"/>
              <w:jc w:val="center"/>
              <w:rPr>
                <w:rFonts w:ascii="Times New Roman" w:eastAsia="Times New Roman" w:hAnsi="Times New Roman" w:cs="Times New Roman"/>
                <w:noProof/>
                <w:sz w:val="24"/>
                <w:szCs w:val="24"/>
                <w:lang w:eastAsia="lv-LV"/>
              </w:rPr>
            </w:pPr>
          </w:p>
        </w:tc>
      </w:tr>
    </w:tbl>
    <w:p w14:paraId="5ADFDEE2" w14:textId="77777777" w:rsidR="00552341" w:rsidRPr="005C11B1" w:rsidRDefault="00552341" w:rsidP="00413A2D">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3"/>
        <w:gridCol w:w="151"/>
        <w:gridCol w:w="696"/>
        <w:gridCol w:w="697"/>
        <w:gridCol w:w="1150"/>
        <w:gridCol w:w="1422"/>
        <w:gridCol w:w="3962"/>
      </w:tblGrid>
      <w:tr w:rsidR="00552341" w:rsidRPr="0014579E" w14:paraId="5C883596" w14:textId="77777777" w:rsidTr="00403B26">
        <w:tc>
          <w:tcPr>
            <w:tcW w:w="550" w:type="pct"/>
            <w:gridSpan w:val="2"/>
            <w:tcBorders>
              <w:top w:val="nil"/>
              <w:left w:val="nil"/>
              <w:bottom w:val="nil"/>
              <w:right w:val="nil"/>
            </w:tcBorders>
            <w:vAlign w:val="bottom"/>
            <w:hideMark/>
          </w:tcPr>
          <w:p w14:paraId="5976759E"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w:t>
            </w:r>
          </w:p>
        </w:tc>
        <w:tc>
          <w:tcPr>
            <w:tcW w:w="400" w:type="pct"/>
            <w:tcBorders>
              <w:top w:val="nil"/>
              <w:left w:val="nil"/>
              <w:bottom w:val="nil"/>
              <w:right w:val="nil"/>
            </w:tcBorders>
            <w:vAlign w:val="center"/>
            <w:hideMark/>
          </w:tcPr>
          <w:p w14:paraId="308B0F5B"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400" w:type="pct"/>
            <w:tcBorders>
              <w:top w:val="nil"/>
              <w:left w:val="nil"/>
              <w:bottom w:val="nil"/>
              <w:right w:val="nil"/>
            </w:tcBorders>
            <w:vAlign w:val="center"/>
            <w:hideMark/>
          </w:tcPr>
          <w:p w14:paraId="61D8F18B"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 .</w:t>
            </w:r>
          </w:p>
        </w:tc>
        <w:tc>
          <w:tcPr>
            <w:tcW w:w="650" w:type="pct"/>
            <w:tcBorders>
              <w:top w:val="nil"/>
              <w:left w:val="nil"/>
              <w:bottom w:val="nil"/>
              <w:right w:val="nil"/>
            </w:tcBorders>
            <w:vAlign w:val="center"/>
            <w:hideMark/>
          </w:tcPr>
          <w:p w14:paraId="5AB75961"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 .</w:t>
            </w:r>
          </w:p>
        </w:tc>
        <w:tc>
          <w:tcPr>
            <w:tcW w:w="800" w:type="pct"/>
            <w:tcBorders>
              <w:top w:val="nil"/>
              <w:left w:val="nil"/>
              <w:bottom w:val="nil"/>
              <w:right w:val="nil"/>
            </w:tcBorders>
            <w:vAlign w:val="bottom"/>
            <w:hideMark/>
          </w:tcPr>
          <w:p w14:paraId="46ECD00E" w14:textId="4E352A22"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nil"/>
              <w:left w:val="nil"/>
              <w:bottom w:val="nil"/>
              <w:right w:val="nil"/>
            </w:tcBorders>
            <w:vAlign w:val="center"/>
            <w:hideMark/>
          </w:tcPr>
          <w:p w14:paraId="05F67F8F" w14:textId="1EC38795"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0F1CB1A9" w14:textId="77777777" w:rsidTr="00403B26">
        <w:tc>
          <w:tcPr>
            <w:tcW w:w="2700" w:type="pct"/>
            <w:gridSpan w:val="6"/>
            <w:tcBorders>
              <w:top w:val="nil"/>
              <w:left w:val="nil"/>
              <w:bottom w:val="nil"/>
              <w:right w:val="nil"/>
            </w:tcBorders>
            <w:hideMark/>
          </w:tcPr>
          <w:p w14:paraId="707CB4E0" w14:textId="689E2D5F"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nil"/>
              <w:left w:val="nil"/>
              <w:bottom w:val="nil"/>
              <w:right w:val="nil"/>
            </w:tcBorders>
            <w:hideMark/>
          </w:tcPr>
          <w:p w14:paraId="7B33D91A" w14:textId="173F793E"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14E16267" w14:textId="77777777" w:rsidTr="00403B26">
        <w:tc>
          <w:tcPr>
            <w:tcW w:w="2700" w:type="pct"/>
            <w:gridSpan w:val="6"/>
            <w:tcBorders>
              <w:top w:val="nil"/>
              <w:left w:val="nil"/>
              <w:bottom w:val="nil"/>
              <w:right w:val="nil"/>
            </w:tcBorders>
            <w:vAlign w:val="center"/>
            <w:hideMark/>
          </w:tcPr>
          <w:p w14:paraId="5AD85392"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Person entitled to represent the merchant</w:t>
            </w:r>
          </w:p>
        </w:tc>
        <w:tc>
          <w:tcPr>
            <w:tcW w:w="2300" w:type="pct"/>
            <w:tcBorders>
              <w:top w:val="nil"/>
              <w:left w:val="nil"/>
              <w:bottom w:val="single" w:sz="6" w:space="0" w:color="auto"/>
              <w:right w:val="nil"/>
            </w:tcBorders>
            <w:vAlign w:val="center"/>
            <w:hideMark/>
          </w:tcPr>
          <w:p w14:paraId="380AE434" w14:textId="791B104B"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543252D4" w14:textId="77777777" w:rsidTr="00403B26">
        <w:tc>
          <w:tcPr>
            <w:tcW w:w="2700" w:type="pct"/>
            <w:gridSpan w:val="6"/>
            <w:tcBorders>
              <w:top w:val="nil"/>
              <w:left w:val="nil"/>
              <w:bottom w:val="nil"/>
              <w:right w:val="nil"/>
            </w:tcBorders>
            <w:hideMark/>
          </w:tcPr>
          <w:p w14:paraId="2588D625" w14:textId="1E4D061C"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outset" w:sz="6" w:space="0" w:color="auto"/>
              <w:left w:val="nil"/>
              <w:bottom w:val="nil"/>
              <w:right w:val="nil"/>
            </w:tcBorders>
            <w:hideMark/>
          </w:tcPr>
          <w:p w14:paraId="0D8C2349"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 thereof/</w:t>
            </w:r>
          </w:p>
        </w:tc>
      </w:tr>
      <w:tr w:rsidR="00552341" w:rsidRPr="0014579E" w14:paraId="5EEF147A" w14:textId="77777777" w:rsidTr="00403B26">
        <w:tc>
          <w:tcPr>
            <w:tcW w:w="2700" w:type="pct"/>
            <w:gridSpan w:val="6"/>
            <w:tcBorders>
              <w:top w:val="nil"/>
              <w:left w:val="nil"/>
              <w:bottom w:val="single" w:sz="6" w:space="0" w:color="auto"/>
              <w:right w:val="nil"/>
            </w:tcBorders>
            <w:hideMark/>
          </w:tcPr>
          <w:p w14:paraId="29A06868" w14:textId="0BF01334"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nil"/>
              <w:left w:val="nil"/>
              <w:bottom w:val="nil"/>
              <w:right w:val="nil"/>
            </w:tcBorders>
            <w:hideMark/>
          </w:tcPr>
          <w:p w14:paraId="09D22C03" w14:textId="141D59C1"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61524A4F" w14:textId="77777777" w:rsidTr="00403B26">
        <w:tc>
          <w:tcPr>
            <w:tcW w:w="2700" w:type="pct"/>
            <w:gridSpan w:val="6"/>
            <w:tcBorders>
              <w:top w:val="outset" w:sz="6" w:space="0" w:color="auto"/>
              <w:left w:val="nil"/>
              <w:bottom w:val="nil"/>
              <w:right w:val="nil"/>
            </w:tcBorders>
            <w:hideMark/>
          </w:tcPr>
          <w:p w14:paraId="14F17EAA" w14:textId="77777777" w:rsidR="00552341" w:rsidRPr="005C11B1" w:rsidRDefault="00552341" w:rsidP="00C05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of the person who prepared the document/</w:t>
            </w:r>
          </w:p>
        </w:tc>
        <w:tc>
          <w:tcPr>
            <w:tcW w:w="2300" w:type="pct"/>
            <w:tcBorders>
              <w:top w:val="nil"/>
              <w:left w:val="nil"/>
              <w:bottom w:val="nil"/>
              <w:right w:val="nil"/>
            </w:tcBorders>
            <w:hideMark/>
          </w:tcPr>
          <w:p w14:paraId="0F94FA48" w14:textId="45090CDE"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5135C4C2" w14:textId="77777777" w:rsidTr="00403B26">
        <w:tc>
          <w:tcPr>
            <w:tcW w:w="450" w:type="pct"/>
            <w:tcBorders>
              <w:top w:val="nil"/>
              <w:left w:val="nil"/>
              <w:bottom w:val="nil"/>
              <w:right w:val="nil"/>
            </w:tcBorders>
            <w:vAlign w:val="bottom"/>
            <w:hideMark/>
          </w:tcPr>
          <w:p w14:paraId="0FD71200" w14:textId="77777777" w:rsidR="00C0554B" w:rsidRDefault="00C0554B" w:rsidP="00C0554B">
            <w:pPr>
              <w:spacing w:after="0" w:line="240" w:lineRule="auto"/>
              <w:jc w:val="both"/>
              <w:rPr>
                <w:rFonts w:ascii="Times New Roman" w:eastAsia="Times New Roman" w:hAnsi="Times New Roman" w:cs="Times New Roman"/>
                <w:noProof/>
                <w:sz w:val="24"/>
                <w:szCs w:val="24"/>
                <w:lang w:eastAsia="lv-LV"/>
              </w:rPr>
            </w:pPr>
          </w:p>
          <w:p w14:paraId="2CF9B4B5" w14:textId="417DBD61"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2300" w:type="pct"/>
            <w:gridSpan w:val="5"/>
            <w:tcBorders>
              <w:top w:val="nil"/>
              <w:left w:val="nil"/>
              <w:bottom w:val="single" w:sz="6" w:space="0" w:color="auto"/>
              <w:right w:val="nil"/>
            </w:tcBorders>
            <w:vAlign w:val="bottom"/>
            <w:hideMark/>
          </w:tcPr>
          <w:p w14:paraId="02964ED6" w14:textId="073F6CA1"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nil"/>
              <w:left w:val="nil"/>
              <w:bottom w:val="nil"/>
              <w:right w:val="nil"/>
            </w:tcBorders>
            <w:hideMark/>
          </w:tcPr>
          <w:p w14:paraId="5B5B1B5E" w14:textId="27371702"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r w:rsidR="00552341" w:rsidRPr="0014579E" w14:paraId="1611FBEA" w14:textId="77777777" w:rsidTr="00403B26">
        <w:tc>
          <w:tcPr>
            <w:tcW w:w="450" w:type="pct"/>
            <w:tcBorders>
              <w:top w:val="nil"/>
              <w:left w:val="nil"/>
              <w:bottom w:val="nil"/>
              <w:right w:val="nil"/>
            </w:tcBorders>
            <w:vAlign w:val="bottom"/>
            <w:hideMark/>
          </w:tcPr>
          <w:p w14:paraId="16CA2EA1" w14:textId="77777777" w:rsidR="00552341" w:rsidRPr="005C11B1" w:rsidRDefault="00552341" w:rsidP="00C05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w:t>
            </w:r>
          </w:p>
        </w:tc>
        <w:tc>
          <w:tcPr>
            <w:tcW w:w="2300" w:type="pct"/>
            <w:gridSpan w:val="5"/>
            <w:tcBorders>
              <w:top w:val="outset" w:sz="6" w:space="0" w:color="auto"/>
              <w:left w:val="nil"/>
              <w:bottom w:val="single" w:sz="6" w:space="0" w:color="auto"/>
              <w:right w:val="nil"/>
            </w:tcBorders>
            <w:vAlign w:val="bottom"/>
            <w:hideMark/>
          </w:tcPr>
          <w:p w14:paraId="656B9C65" w14:textId="077A7C40"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nil"/>
              <w:left w:val="nil"/>
              <w:bottom w:val="nil"/>
              <w:right w:val="nil"/>
            </w:tcBorders>
            <w:hideMark/>
          </w:tcPr>
          <w:p w14:paraId="6C5BBA96" w14:textId="00FD5289" w:rsidR="00552341" w:rsidRPr="005C11B1" w:rsidRDefault="00552341" w:rsidP="00C0554B">
            <w:pPr>
              <w:spacing w:after="0" w:line="240" w:lineRule="auto"/>
              <w:jc w:val="both"/>
              <w:rPr>
                <w:rFonts w:ascii="Times New Roman" w:eastAsia="Times New Roman" w:hAnsi="Times New Roman" w:cs="Times New Roman"/>
                <w:noProof/>
                <w:sz w:val="24"/>
                <w:szCs w:val="24"/>
                <w:lang w:eastAsia="lv-LV"/>
              </w:rPr>
            </w:pPr>
          </w:p>
        </w:tc>
      </w:tr>
    </w:tbl>
    <w:p w14:paraId="5D23CD09" w14:textId="77777777" w:rsidR="00C0554B" w:rsidRDefault="00C0554B" w:rsidP="00413A2D">
      <w:pPr>
        <w:spacing w:after="0" w:line="240" w:lineRule="auto"/>
        <w:jc w:val="both"/>
        <w:rPr>
          <w:rFonts w:ascii="Times New Roman" w:eastAsia="Times New Roman" w:hAnsi="Times New Roman" w:cs="Times New Roman"/>
          <w:noProof/>
          <w:sz w:val="24"/>
          <w:szCs w:val="24"/>
          <w:lang w:eastAsia="lv-LV"/>
        </w:rPr>
      </w:pPr>
    </w:p>
    <w:p w14:paraId="4AF9F761" w14:textId="1153F67D" w:rsidR="00552341" w:rsidRPr="005C11B1" w:rsidRDefault="00552341" w:rsidP="00413A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Note. The details of the document “date” and “signature” shall not be completed, if the electronic document has been prepared in accordance with the laws and regulations regarding drawing up of electronic documents.</w:t>
      </w:r>
    </w:p>
    <w:p w14:paraId="729426FE" w14:textId="77777777" w:rsidR="00552341" w:rsidRPr="0014579E" w:rsidRDefault="00552341" w:rsidP="00413A2D">
      <w:pPr>
        <w:spacing w:after="0" w:line="240" w:lineRule="auto"/>
        <w:jc w:val="both"/>
        <w:rPr>
          <w:rFonts w:ascii="Times New Roman" w:hAnsi="Times New Roman"/>
          <w:noProof/>
          <w:sz w:val="24"/>
        </w:rPr>
      </w:pPr>
    </w:p>
    <w:sectPr w:rsidR="00552341" w:rsidRPr="0014579E" w:rsidSect="0014579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6936" w14:textId="77777777" w:rsidR="001E0E51" w:rsidRPr="00552341" w:rsidRDefault="001E0E51" w:rsidP="00552341">
      <w:pPr>
        <w:spacing w:after="0" w:line="240" w:lineRule="auto"/>
        <w:rPr>
          <w:noProof/>
          <w:lang w:val="en-US"/>
        </w:rPr>
      </w:pPr>
      <w:r w:rsidRPr="00552341">
        <w:rPr>
          <w:noProof/>
          <w:lang w:val="en-US"/>
        </w:rPr>
        <w:separator/>
      </w:r>
    </w:p>
  </w:endnote>
  <w:endnote w:type="continuationSeparator" w:id="0">
    <w:p w14:paraId="4C06380C" w14:textId="77777777" w:rsidR="001E0E51" w:rsidRPr="00552341" w:rsidRDefault="001E0E51" w:rsidP="00552341">
      <w:pPr>
        <w:spacing w:after="0" w:line="240" w:lineRule="auto"/>
        <w:rPr>
          <w:noProof/>
          <w:lang w:val="en-US"/>
        </w:rPr>
      </w:pPr>
      <w:r w:rsidRPr="00552341">
        <w:rPr>
          <w:noProof/>
          <w:lang w:val="en-US"/>
        </w:rPr>
        <w:continuationSeparator/>
      </w:r>
    </w:p>
  </w:endnote>
  <w:endnote w:type="continuationNotice" w:id="1">
    <w:p w14:paraId="43506F91" w14:textId="77777777" w:rsidR="00902AFB" w:rsidRDefault="00902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6CBB" w14:textId="77777777" w:rsidR="00EA57CC" w:rsidRPr="000B5654" w:rsidRDefault="00EA57CC" w:rsidP="00EA57CC">
    <w:pPr>
      <w:pStyle w:val="Footer"/>
      <w:tabs>
        <w:tab w:val="right" w:pos="9072"/>
      </w:tabs>
      <w:rPr>
        <w:rFonts w:ascii="Times New Roman" w:hAnsi="Times New Roman" w:cs="Times New Roman"/>
        <w:sz w:val="20"/>
        <w:szCs w:val="20"/>
      </w:rPr>
    </w:pPr>
  </w:p>
  <w:p w14:paraId="53BBFB3D" w14:textId="01FAFBDB" w:rsidR="00E86DFB" w:rsidRPr="00EA57CC" w:rsidRDefault="00EA57CC" w:rsidP="00EA57CC">
    <w:pPr>
      <w:pStyle w:val="Footer"/>
      <w:tabs>
        <w:tab w:val="right" w:pos="9072"/>
      </w:tabs>
      <w:rPr>
        <w:rFonts w:ascii="Times New Roman" w:hAnsi="Times New Roman" w:cs="Times New Roman"/>
        <w:sz w:val="20"/>
        <w:szCs w:val="20"/>
      </w:rPr>
    </w:pPr>
    <w:r w:rsidRPr="000B5654">
      <w:rPr>
        <w:rFonts w:ascii="Times New Roman" w:hAnsi="Times New Roman" w:cs="Times New Roman"/>
        <w:sz w:val="20"/>
        <w:szCs w:val="20"/>
      </w:rPr>
      <w:t xml:space="preserve">Translation </w:t>
    </w:r>
    <w:r w:rsidRPr="000B5654">
      <w:rPr>
        <w:rFonts w:ascii="Times New Roman" w:hAnsi="Times New Roman" w:cs="Times New Roman"/>
        <w:sz w:val="20"/>
        <w:szCs w:val="20"/>
      </w:rPr>
      <w:fldChar w:fldCharType="begin"/>
    </w:r>
    <w:r w:rsidRPr="000B5654">
      <w:rPr>
        <w:rFonts w:ascii="Times New Roman" w:hAnsi="Times New Roman" w:cs="Times New Roman"/>
        <w:sz w:val="20"/>
        <w:szCs w:val="20"/>
      </w:rPr>
      <w:instrText>symbol 169 \f "UnivrstyRoman TL" \s 8</w:instrText>
    </w:r>
    <w:r w:rsidRPr="000B5654">
      <w:rPr>
        <w:rFonts w:ascii="Times New Roman" w:hAnsi="Times New Roman" w:cs="Times New Roman"/>
        <w:sz w:val="20"/>
        <w:szCs w:val="20"/>
      </w:rPr>
      <w:fldChar w:fldCharType="separate"/>
    </w:r>
    <w:r w:rsidRPr="000B5654">
      <w:rPr>
        <w:rFonts w:ascii="Times New Roman" w:hAnsi="Times New Roman" w:cs="Times New Roman"/>
        <w:sz w:val="20"/>
        <w:szCs w:val="20"/>
      </w:rPr>
      <w:t>©</w:t>
    </w:r>
    <w:r w:rsidRPr="000B5654">
      <w:rPr>
        <w:rFonts w:ascii="Times New Roman" w:hAnsi="Times New Roman" w:cs="Times New Roman"/>
        <w:sz w:val="20"/>
        <w:szCs w:val="20"/>
      </w:rPr>
      <w:fldChar w:fldCharType="end"/>
    </w:r>
    <w:r w:rsidRPr="000B5654">
      <w:rPr>
        <w:rFonts w:ascii="Times New Roman" w:hAnsi="Times New Roman" w:cs="Times New Roman"/>
        <w:sz w:val="20"/>
        <w:szCs w:val="20"/>
      </w:rPr>
      <w:t xml:space="preserve"> 202</w:t>
    </w:r>
    <w:r>
      <w:rPr>
        <w:rFonts w:ascii="Times New Roman" w:hAnsi="Times New Roman" w:cs="Times New Roman"/>
        <w:sz w:val="20"/>
        <w:szCs w:val="20"/>
      </w:rPr>
      <w:t>2</w:t>
    </w:r>
    <w:r w:rsidRPr="000B5654">
      <w:rPr>
        <w:rFonts w:ascii="Times New Roman" w:hAnsi="Times New Roman" w:cs="Times New Roman"/>
        <w:sz w:val="20"/>
        <w:szCs w:val="20"/>
      </w:rPr>
      <w:t xml:space="preserve"> Valsts valodas centrs (State Language Centre)</w:t>
    </w:r>
    <w:r w:rsidRPr="000B5654">
      <w:rPr>
        <w:rFonts w:ascii="Times New Roman" w:hAnsi="Times New Roman" w:cs="Times New Roman"/>
        <w:sz w:val="20"/>
        <w:szCs w:val="20"/>
      </w:rPr>
      <w:tab/>
    </w:r>
    <w:r w:rsidRPr="000B5654">
      <w:rPr>
        <w:rStyle w:val="PageNumber"/>
        <w:rFonts w:ascii="Times New Roman" w:hAnsi="Times New Roman" w:cs="Times New Roman"/>
        <w:sz w:val="20"/>
        <w:szCs w:val="20"/>
      </w:rPr>
      <w:fldChar w:fldCharType="begin"/>
    </w:r>
    <w:r w:rsidRPr="000B5654">
      <w:rPr>
        <w:rStyle w:val="PageNumber"/>
        <w:rFonts w:ascii="Times New Roman" w:hAnsi="Times New Roman" w:cs="Times New Roman"/>
        <w:sz w:val="20"/>
        <w:szCs w:val="20"/>
      </w:rPr>
      <w:instrText xml:space="preserve"> PAGE </w:instrText>
    </w:r>
    <w:r w:rsidRPr="000B5654">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0B5654">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EDD0" w14:textId="77777777" w:rsidR="00E86DFB" w:rsidRPr="00B10A0E" w:rsidRDefault="00E86DFB" w:rsidP="00E86DFB">
    <w:pPr>
      <w:pStyle w:val="Footer"/>
      <w:rPr>
        <w:rFonts w:ascii="Times New Roman" w:hAnsi="Times New Roman" w:cs="Times New Roman"/>
        <w:sz w:val="20"/>
        <w:szCs w:val="20"/>
      </w:rPr>
    </w:pPr>
  </w:p>
  <w:p w14:paraId="4CB3ADF1" w14:textId="76EB6EFD" w:rsidR="00E86DFB" w:rsidRPr="00E86DFB" w:rsidRDefault="00E86DFB">
    <w:pPr>
      <w:pStyle w:val="Footer"/>
      <w:rPr>
        <w:rFonts w:ascii="Times New Roman" w:hAnsi="Times New Roman" w:cs="Times New Roman"/>
        <w:sz w:val="20"/>
        <w:szCs w:val="20"/>
      </w:rPr>
    </w:pPr>
    <w:r w:rsidRPr="00B10A0E">
      <w:rPr>
        <w:rFonts w:ascii="Times New Roman" w:hAnsi="Times New Roman" w:cs="Times New Roman"/>
        <w:sz w:val="20"/>
        <w:szCs w:val="20"/>
      </w:rPr>
      <w:t xml:space="preserve">Translation </w:t>
    </w:r>
    <w:r w:rsidRPr="00B10A0E">
      <w:rPr>
        <w:rFonts w:ascii="Times New Roman" w:hAnsi="Times New Roman" w:cs="Times New Roman"/>
        <w:sz w:val="20"/>
        <w:szCs w:val="20"/>
      </w:rPr>
      <w:fldChar w:fldCharType="begin"/>
    </w:r>
    <w:r w:rsidRPr="00B10A0E">
      <w:rPr>
        <w:rFonts w:ascii="Times New Roman" w:hAnsi="Times New Roman" w:cs="Times New Roman"/>
        <w:sz w:val="20"/>
        <w:szCs w:val="20"/>
      </w:rPr>
      <w:instrText>symbol 169 \f "UnivrstyRoman TL" \s 8</w:instrText>
    </w:r>
    <w:r w:rsidRPr="00B10A0E">
      <w:rPr>
        <w:rFonts w:ascii="Times New Roman" w:hAnsi="Times New Roman" w:cs="Times New Roman"/>
        <w:sz w:val="20"/>
        <w:szCs w:val="20"/>
      </w:rPr>
      <w:fldChar w:fldCharType="separate"/>
    </w:r>
    <w:r w:rsidRPr="00B10A0E">
      <w:rPr>
        <w:rFonts w:ascii="Times New Roman" w:hAnsi="Times New Roman" w:cs="Times New Roman"/>
        <w:sz w:val="20"/>
        <w:szCs w:val="20"/>
      </w:rPr>
      <w:t>©</w:t>
    </w:r>
    <w:r w:rsidRPr="00B10A0E">
      <w:rPr>
        <w:rFonts w:ascii="Times New Roman" w:hAnsi="Times New Roman" w:cs="Times New Roman"/>
        <w:sz w:val="20"/>
        <w:szCs w:val="20"/>
      </w:rPr>
      <w:fldChar w:fldCharType="end"/>
    </w:r>
    <w:r w:rsidRPr="00B10A0E">
      <w:rPr>
        <w:rFonts w:ascii="Times New Roman" w:hAnsi="Times New Roman" w:cs="Times New Roman"/>
        <w:sz w:val="20"/>
        <w:szCs w:val="20"/>
      </w:rPr>
      <w:t xml:space="preserve"> 202</w:t>
    </w:r>
    <w:r>
      <w:rPr>
        <w:rFonts w:ascii="Times New Roman" w:hAnsi="Times New Roman" w:cs="Times New Roman"/>
        <w:sz w:val="20"/>
        <w:szCs w:val="20"/>
      </w:rPr>
      <w:t>2</w:t>
    </w:r>
    <w:r w:rsidRPr="00B10A0E">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DC9A2" w14:textId="77777777" w:rsidR="001E0E51" w:rsidRPr="00552341" w:rsidRDefault="001E0E51" w:rsidP="00552341">
      <w:pPr>
        <w:spacing w:after="0" w:line="240" w:lineRule="auto"/>
        <w:rPr>
          <w:noProof/>
          <w:lang w:val="en-US"/>
        </w:rPr>
      </w:pPr>
      <w:r w:rsidRPr="00552341">
        <w:rPr>
          <w:noProof/>
          <w:lang w:val="en-US"/>
        </w:rPr>
        <w:separator/>
      </w:r>
    </w:p>
  </w:footnote>
  <w:footnote w:type="continuationSeparator" w:id="0">
    <w:p w14:paraId="4B2CA0B3" w14:textId="77777777" w:rsidR="001E0E51" w:rsidRPr="00552341" w:rsidRDefault="001E0E51" w:rsidP="00552341">
      <w:pPr>
        <w:spacing w:after="0" w:line="240" w:lineRule="auto"/>
        <w:rPr>
          <w:noProof/>
          <w:lang w:val="en-US"/>
        </w:rPr>
      </w:pPr>
      <w:r w:rsidRPr="00552341">
        <w:rPr>
          <w:noProof/>
          <w:lang w:val="en-US"/>
        </w:rPr>
        <w:continuationSeparator/>
      </w:r>
    </w:p>
  </w:footnote>
  <w:footnote w:type="continuationNotice" w:id="1">
    <w:p w14:paraId="05B7EECD" w14:textId="77777777" w:rsidR="00902AFB" w:rsidRDefault="00902AF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B0"/>
    <w:rsid w:val="000311F7"/>
    <w:rsid w:val="000A7ABE"/>
    <w:rsid w:val="000E10B9"/>
    <w:rsid w:val="0014579E"/>
    <w:rsid w:val="001B459B"/>
    <w:rsid w:val="001E0E51"/>
    <w:rsid w:val="002F6A33"/>
    <w:rsid w:val="00360EB0"/>
    <w:rsid w:val="00403B26"/>
    <w:rsid w:val="00413A2D"/>
    <w:rsid w:val="0045286A"/>
    <w:rsid w:val="0045368B"/>
    <w:rsid w:val="00552341"/>
    <w:rsid w:val="005863A6"/>
    <w:rsid w:val="005A3875"/>
    <w:rsid w:val="005C11B1"/>
    <w:rsid w:val="00612425"/>
    <w:rsid w:val="00666292"/>
    <w:rsid w:val="00716A89"/>
    <w:rsid w:val="007213FD"/>
    <w:rsid w:val="007C1E77"/>
    <w:rsid w:val="007C6371"/>
    <w:rsid w:val="00902AFB"/>
    <w:rsid w:val="00921840"/>
    <w:rsid w:val="009A4E41"/>
    <w:rsid w:val="00A76BC7"/>
    <w:rsid w:val="00C0554B"/>
    <w:rsid w:val="00C278C1"/>
    <w:rsid w:val="00DE6F89"/>
    <w:rsid w:val="00E660E9"/>
    <w:rsid w:val="00E86DFB"/>
    <w:rsid w:val="00EA57CC"/>
    <w:rsid w:val="00F7717D"/>
    <w:rsid w:val="00FC41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E6C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11B1"/>
    <w:rPr>
      <w:color w:val="0000FF"/>
      <w:u w:val="single"/>
    </w:rPr>
  </w:style>
  <w:style w:type="paragraph" w:customStyle="1" w:styleId="tv213">
    <w:name w:val="tv213"/>
    <w:basedOn w:val="Normal"/>
    <w:rsid w:val="005C1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5C1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C11B1"/>
  </w:style>
  <w:style w:type="paragraph" w:styleId="NormalWeb">
    <w:name w:val="Normal (Web)"/>
    <w:basedOn w:val="Normal"/>
    <w:uiPriority w:val="99"/>
    <w:semiHidden/>
    <w:unhideWhenUsed/>
    <w:rsid w:val="005C11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52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341"/>
  </w:style>
  <w:style w:type="paragraph" w:styleId="Footer">
    <w:name w:val="footer"/>
    <w:basedOn w:val="Normal"/>
    <w:link w:val="FooterChar"/>
    <w:unhideWhenUsed/>
    <w:rsid w:val="00552341"/>
    <w:pPr>
      <w:tabs>
        <w:tab w:val="center" w:pos="4513"/>
        <w:tab w:val="right" w:pos="9026"/>
      </w:tabs>
      <w:spacing w:after="0" w:line="240" w:lineRule="auto"/>
    </w:pPr>
  </w:style>
  <w:style w:type="character" w:customStyle="1" w:styleId="FooterChar">
    <w:name w:val="Footer Char"/>
    <w:basedOn w:val="DefaultParagraphFont"/>
    <w:link w:val="Footer"/>
    <w:rsid w:val="00552341"/>
  </w:style>
  <w:style w:type="character" w:styleId="PageNumber">
    <w:name w:val="page number"/>
    <w:basedOn w:val="DefaultParagraphFont"/>
    <w:rsid w:val="00EA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955555">
      <w:bodyDiv w:val="1"/>
      <w:marLeft w:val="0"/>
      <w:marRight w:val="0"/>
      <w:marTop w:val="0"/>
      <w:marBottom w:val="0"/>
      <w:divBdr>
        <w:top w:val="none" w:sz="0" w:space="0" w:color="auto"/>
        <w:left w:val="none" w:sz="0" w:space="0" w:color="auto"/>
        <w:bottom w:val="none" w:sz="0" w:space="0" w:color="auto"/>
        <w:right w:val="none" w:sz="0" w:space="0" w:color="auto"/>
      </w:divBdr>
      <w:divsChild>
        <w:div w:id="93864790">
          <w:marLeft w:val="0"/>
          <w:marRight w:val="0"/>
          <w:marTop w:val="0"/>
          <w:marBottom w:val="0"/>
          <w:divBdr>
            <w:top w:val="none" w:sz="0" w:space="0" w:color="auto"/>
            <w:left w:val="none" w:sz="0" w:space="0" w:color="auto"/>
            <w:bottom w:val="none" w:sz="0" w:space="0" w:color="auto"/>
            <w:right w:val="none" w:sz="0" w:space="0" w:color="auto"/>
          </w:divBdr>
          <w:divsChild>
            <w:div w:id="1704747935">
              <w:marLeft w:val="0"/>
              <w:marRight w:val="0"/>
              <w:marTop w:val="0"/>
              <w:marBottom w:val="0"/>
              <w:divBdr>
                <w:top w:val="none" w:sz="0" w:space="0" w:color="auto"/>
                <w:left w:val="none" w:sz="0" w:space="0" w:color="auto"/>
                <w:bottom w:val="none" w:sz="0" w:space="0" w:color="auto"/>
                <w:right w:val="none" w:sz="0" w:space="0" w:color="auto"/>
              </w:divBdr>
            </w:div>
            <w:div w:id="2053069675">
              <w:marLeft w:val="0"/>
              <w:marRight w:val="0"/>
              <w:marTop w:val="0"/>
              <w:marBottom w:val="0"/>
              <w:divBdr>
                <w:top w:val="none" w:sz="0" w:space="0" w:color="auto"/>
                <w:left w:val="none" w:sz="0" w:space="0" w:color="auto"/>
                <w:bottom w:val="none" w:sz="0" w:space="0" w:color="auto"/>
                <w:right w:val="none" w:sz="0" w:space="0" w:color="auto"/>
              </w:divBdr>
            </w:div>
            <w:div w:id="745878457">
              <w:marLeft w:val="0"/>
              <w:marRight w:val="0"/>
              <w:marTop w:val="0"/>
              <w:marBottom w:val="0"/>
              <w:divBdr>
                <w:top w:val="none" w:sz="0" w:space="0" w:color="auto"/>
                <w:left w:val="none" w:sz="0" w:space="0" w:color="auto"/>
                <w:bottom w:val="none" w:sz="0" w:space="0" w:color="auto"/>
                <w:right w:val="none" w:sz="0" w:space="0" w:color="auto"/>
              </w:divBdr>
            </w:div>
            <w:div w:id="1677538994">
              <w:marLeft w:val="0"/>
              <w:marRight w:val="0"/>
              <w:marTop w:val="0"/>
              <w:marBottom w:val="0"/>
              <w:divBdr>
                <w:top w:val="none" w:sz="0" w:space="0" w:color="auto"/>
                <w:left w:val="none" w:sz="0" w:space="0" w:color="auto"/>
                <w:bottom w:val="none" w:sz="0" w:space="0" w:color="auto"/>
                <w:right w:val="none" w:sz="0" w:space="0" w:color="auto"/>
              </w:divBdr>
            </w:div>
            <w:div w:id="1784155844">
              <w:marLeft w:val="0"/>
              <w:marRight w:val="0"/>
              <w:marTop w:val="0"/>
              <w:marBottom w:val="0"/>
              <w:divBdr>
                <w:top w:val="none" w:sz="0" w:space="0" w:color="auto"/>
                <w:left w:val="none" w:sz="0" w:space="0" w:color="auto"/>
                <w:bottom w:val="none" w:sz="0" w:space="0" w:color="auto"/>
                <w:right w:val="none" w:sz="0" w:space="0" w:color="auto"/>
              </w:divBdr>
            </w:div>
            <w:div w:id="176431743">
              <w:marLeft w:val="0"/>
              <w:marRight w:val="0"/>
              <w:marTop w:val="0"/>
              <w:marBottom w:val="0"/>
              <w:divBdr>
                <w:top w:val="none" w:sz="0" w:space="0" w:color="auto"/>
                <w:left w:val="none" w:sz="0" w:space="0" w:color="auto"/>
                <w:bottom w:val="none" w:sz="0" w:space="0" w:color="auto"/>
                <w:right w:val="none" w:sz="0" w:space="0" w:color="auto"/>
              </w:divBdr>
            </w:div>
            <w:div w:id="2115125500">
              <w:marLeft w:val="0"/>
              <w:marRight w:val="0"/>
              <w:marTop w:val="0"/>
              <w:marBottom w:val="0"/>
              <w:divBdr>
                <w:top w:val="none" w:sz="0" w:space="0" w:color="auto"/>
                <w:left w:val="none" w:sz="0" w:space="0" w:color="auto"/>
                <w:bottom w:val="none" w:sz="0" w:space="0" w:color="auto"/>
                <w:right w:val="none" w:sz="0" w:space="0" w:color="auto"/>
              </w:divBdr>
            </w:div>
            <w:div w:id="832256270">
              <w:marLeft w:val="0"/>
              <w:marRight w:val="0"/>
              <w:marTop w:val="0"/>
              <w:marBottom w:val="0"/>
              <w:divBdr>
                <w:top w:val="none" w:sz="0" w:space="0" w:color="auto"/>
                <w:left w:val="none" w:sz="0" w:space="0" w:color="auto"/>
                <w:bottom w:val="none" w:sz="0" w:space="0" w:color="auto"/>
                <w:right w:val="none" w:sz="0" w:space="0" w:color="auto"/>
              </w:divBdr>
            </w:div>
            <w:div w:id="2020346192">
              <w:marLeft w:val="0"/>
              <w:marRight w:val="0"/>
              <w:marTop w:val="0"/>
              <w:marBottom w:val="0"/>
              <w:divBdr>
                <w:top w:val="none" w:sz="0" w:space="0" w:color="auto"/>
                <w:left w:val="none" w:sz="0" w:space="0" w:color="auto"/>
                <w:bottom w:val="none" w:sz="0" w:space="0" w:color="auto"/>
                <w:right w:val="none" w:sz="0" w:space="0" w:color="auto"/>
              </w:divBdr>
            </w:div>
            <w:div w:id="1103500748">
              <w:marLeft w:val="0"/>
              <w:marRight w:val="0"/>
              <w:marTop w:val="0"/>
              <w:marBottom w:val="0"/>
              <w:divBdr>
                <w:top w:val="none" w:sz="0" w:space="0" w:color="auto"/>
                <w:left w:val="none" w:sz="0" w:space="0" w:color="auto"/>
                <w:bottom w:val="none" w:sz="0" w:space="0" w:color="auto"/>
                <w:right w:val="none" w:sz="0" w:space="0" w:color="auto"/>
              </w:divBdr>
            </w:div>
            <w:div w:id="1062100938">
              <w:marLeft w:val="0"/>
              <w:marRight w:val="0"/>
              <w:marTop w:val="0"/>
              <w:marBottom w:val="0"/>
              <w:divBdr>
                <w:top w:val="none" w:sz="0" w:space="0" w:color="auto"/>
                <w:left w:val="none" w:sz="0" w:space="0" w:color="auto"/>
                <w:bottom w:val="none" w:sz="0" w:space="0" w:color="auto"/>
                <w:right w:val="none" w:sz="0" w:space="0" w:color="auto"/>
              </w:divBdr>
            </w:div>
            <w:div w:id="1732803685">
              <w:marLeft w:val="0"/>
              <w:marRight w:val="0"/>
              <w:marTop w:val="0"/>
              <w:marBottom w:val="0"/>
              <w:divBdr>
                <w:top w:val="none" w:sz="0" w:space="0" w:color="auto"/>
                <w:left w:val="none" w:sz="0" w:space="0" w:color="auto"/>
                <w:bottom w:val="none" w:sz="0" w:space="0" w:color="auto"/>
                <w:right w:val="none" w:sz="0" w:space="0" w:color="auto"/>
              </w:divBdr>
            </w:div>
            <w:div w:id="1249657311">
              <w:marLeft w:val="0"/>
              <w:marRight w:val="0"/>
              <w:marTop w:val="0"/>
              <w:marBottom w:val="0"/>
              <w:divBdr>
                <w:top w:val="none" w:sz="0" w:space="0" w:color="auto"/>
                <w:left w:val="none" w:sz="0" w:space="0" w:color="auto"/>
                <w:bottom w:val="none" w:sz="0" w:space="0" w:color="auto"/>
                <w:right w:val="none" w:sz="0" w:space="0" w:color="auto"/>
              </w:divBdr>
            </w:div>
            <w:div w:id="443233721">
              <w:marLeft w:val="0"/>
              <w:marRight w:val="0"/>
              <w:marTop w:val="0"/>
              <w:marBottom w:val="0"/>
              <w:divBdr>
                <w:top w:val="none" w:sz="0" w:space="0" w:color="auto"/>
                <w:left w:val="none" w:sz="0" w:space="0" w:color="auto"/>
                <w:bottom w:val="none" w:sz="0" w:space="0" w:color="auto"/>
                <w:right w:val="none" w:sz="0" w:space="0" w:color="auto"/>
              </w:divBdr>
            </w:div>
            <w:div w:id="475531495">
              <w:marLeft w:val="0"/>
              <w:marRight w:val="0"/>
              <w:marTop w:val="0"/>
              <w:marBottom w:val="0"/>
              <w:divBdr>
                <w:top w:val="none" w:sz="0" w:space="0" w:color="auto"/>
                <w:left w:val="none" w:sz="0" w:space="0" w:color="auto"/>
                <w:bottom w:val="none" w:sz="0" w:space="0" w:color="auto"/>
                <w:right w:val="none" w:sz="0" w:space="0" w:color="auto"/>
              </w:divBdr>
            </w:div>
            <w:div w:id="538854720">
              <w:marLeft w:val="0"/>
              <w:marRight w:val="0"/>
              <w:marTop w:val="0"/>
              <w:marBottom w:val="0"/>
              <w:divBdr>
                <w:top w:val="none" w:sz="0" w:space="0" w:color="auto"/>
                <w:left w:val="none" w:sz="0" w:space="0" w:color="auto"/>
                <w:bottom w:val="none" w:sz="0" w:space="0" w:color="auto"/>
                <w:right w:val="none" w:sz="0" w:space="0" w:color="auto"/>
              </w:divBdr>
            </w:div>
            <w:div w:id="1287659183">
              <w:marLeft w:val="0"/>
              <w:marRight w:val="0"/>
              <w:marTop w:val="0"/>
              <w:marBottom w:val="0"/>
              <w:divBdr>
                <w:top w:val="none" w:sz="0" w:space="0" w:color="auto"/>
                <w:left w:val="none" w:sz="0" w:space="0" w:color="auto"/>
                <w:bottom w:val="none" w:sz="0" w:space="0" w:color="auto"/>
                <w:right w:val="none" w:sz="0" w:space="0" w:color="auto"/>
              </w:divBdr>
            </w:div>
            <w:div w:id="681590602">
              <w:marLeft w:val="0"/>
              <w:marRight w:val="0"/>
              <w:marTop w:val="0"/>
              <w:marBottom w:val="0"/>
              <w:divBdr>
                <w:top w:val="none" w:sz="0" w:space="0" w:color="auto"/>
                <w:left w:val="none" w:sz="0" w:space="0" w:color="auto"/>
                <w:bottom w:val="none" w:sz="0" w:space="0" w:color="auto"/>
                <w:right w:val="none" w:sz="0" w:space="0" w:color="auto"/>
              </w:divBdr>
            </w:div>
            <w:div w:id="247926223">
              <w:marLeft w:val="0"/>
              <w:marRight w:val="0"/>
              <w:marTop w:val="0"/>
              <w:marBottom w:val="0"/>
              <w:divBdr>
                <w:top w:val="none" w:sz="0" w:space="0" w:color="auto"/>
                <w:left w:val="none" w:sz="0" w:space="0" w:color="auto"/>
                <w:bottom w:val="none" w:sz="0" w:space="0" w:color="auto"/>
                <w:right w:val="none" w:sz="0" w:space="0" w:color="auto"/>
              </w:divBdr>
            </w:div>
            <w:div w:id="1134176344">
              <w:marLeft w:val="0"/>
              <w:marRight w:val="0"/>
              <w:marTop w:val="0"/>
              <w:marBottom w:val="0"/>
              <w:divBdr>
                <w:top w:val="none" w:sz="0" w:space="0" w:color="auto"/>
                <w:left w:val="none" w:sz="0" w:space="0" w:color="auto"/>
                <w:bottom w:val="none" w:sz="0" w:space="0" w:color="auto"/>
                <w:right w:val="none" w:sz="0" w:space="0" w:color="auto"/>
              </w:divBdr>
            </w:div>
            <w:div w:id="1012222113">
              <w:marLeft w:val="0"/>
              <w:marRight w:val="0"/>
              <w:marTop w:val="0"/>
              <w:marBottom w:val="0"/>
              <w:divBdr>
                <w:top w:val="none" w:sz="0" w:space="0" w:color="auto"/>
                <w:left w:val="none" w:sz="0" w:space="0" w:color="auto"/>
                <w:bottom w:val="none" w:sz="0" w:space="0" w:color="auto"/>
                <w:right w:val="none" w:sz="0" w:space="0" w:color="auto"/>
              </w:divBdr>
            </w:div>
            <w:div w:id="1777750303">
              <w:marLeft w:val="0"/>
              <w:marRight w:val="0"/>
              <w:marTop w:val="0"/>
              <w:marBottom w:val="0"/>
              <w:divBdr>
                <w:top w:val="none" w:sz="0" w:space="0" w:color="auto"/>
                <w:left w:val="none" w:sz="0" w:space="0" w:color="auto"/>
                <w:bottom w:val="none" w:sz="0" w:space="0" w:color="auto"/>
                <w:right w:val="none" w:sz="0" w:space="0" w:color="auto"/>
              </w:divBdr>
            </w:div>
            <w:div w:id="840892977">
              <w:marLeft w:val="0"/>
              <w:marRight w:val="0"/>
              <w:marTop w:val="0"/>
              <w:marBottom w:val="0"/>
              <w:divBdr>
                <w:top w:val="none" w:sz="0" w:space="0" w:color="auto"/>
                <w:left w:val="none" w:sz="0" w:space="0" w:color="auto"/>
                <w:bottom w:val="none" w:sz="0" w:space="0" w:color="auto"/>
                <w:right w:val="none" w:sz="0" w:space="0" w:color="auto"/>
              </w:divBdr>
            </w:div>
            <w:div w:id="728845382">
              <w:marLeft w:val="0"/>
              <w:marRight w:val="0"/>
              <w:marTop w:val="0"/>
              <w:marBottom w:val="0"/>
              <w:divBdr>
                <w:top w:val="none" w:sz="0" w:space="0" w:color="auto"/>
                <w:left w:val="none" w:sz="0" w:space="0" w:color="auto"/>
                <w:bottom w:val="none" w:sz="0" w:space="0" w:color="auto"/>
                <w:right w:val="none" w:sz="0" w:space="0" w:color="auto"/>
              </w:divBdr>
            </w:div>
            <w:div w:id="873884666">
              <w:marLeft w:val="0"/>
              <w:marRight w:val="0"/>
              <w:marTop w:val="0"/>
              <w:marBottom w:val="0"/>
              <w:divBdr>
                <w:top w:val="none" w:sz="0" w:space="0" w:color="auto"/>
                <w:left w:val="none" w:sz="0" w:space="0" w:color="auto"/>
                <w:bottom w:val="none" w:sz="0" w:space="0" w:color="auto"/>
                <w:right w:val="none" w:sz="0" w:space="0" w:color="auto"/>
              </w:divBdr>
            </w:div>
            <w:div w:id="200941641">
              <w:marLeft w:val="0"/>
              <w:marRight w:val="0"/>
              <w:marTop w:val="0"/>
              <w:marBottom w:val="0"/>
              <w:divBdr>
                <w:top w:val="none" w:sz="0" w:space="0" w:color="auto"/>
                <w:left w:val="none" w:sz="0" w:space="0" w:color="auto"/>
                <w:bottom w:val="none" w:sz="0" w:space="0" w:color="auto"/>
                <w:right w:val="none" w:sz="0" w:space="0" w:color="auto"/>
              </w:divBdr>
            </w:div>
            <w:div w:id="884218855">
              <w:marLeft w:val="0"/>
              <w:marRight w:val="0"/>
              <w:marTop w:val="0"/>
              <w:marBottom w:val="0"/>
              <w:divBdr>
                <w:top w:val="none" w:sz="0" w:space="0" w:color="auto"/>
                <w:left w:val="none" w:sz="0" w:space="0" w:color="auto"/>
                <w:bottom w:val="none" w:sz="0" w:space="0" w:color="auto"/>
                <w:right w:val="none" w:sz="0" w:space="0" w:color="auto"/>
              </w:divBdr>
            </w:div>
            <w:div w:id="2130126161">
              <w:marLeft w:val="0"/>
              <w:marRight w:val="0"/>
              <w:marTop w:val="0"/>
              <w:marBottom w:val="0"/>
              <w:divBdr>
                <w:top w:val="none" w:sz="0" w:space="0" w:color="auto"/>
                <w:left w:val="none" w:sz="0" w:space="0" w:color="auto"/>
                <w:bottom w:val="none" w:sz="0" w:space="0" w:color="auto"/>
                <w:right w:val="none" w:sz="0" w:space="0" w:color="auto"/>
              </w:divBdr>
            </w:div>
            <w:div w:id="798836199">
              <w:marLeft w:val="0"/>
              <w:marRight w:val="0"/>
              <w:marTop w:val="0"/>
              <w:marBottom w:val="0"/>
              <w:divBdr>
                <w:top w:val="none" w:sz="0" w:space="0" w:color="auto"/>
                <w:left w:val="none" w:sz="0" w:space="0" w:color="auto"/>
                <w:bottom w:val="none" w:sz="0" w:space="0" w:color="auto"/>
                <w:right w:val="none" w:sz="0" w:space="0" w:color="auto"/>
              </w:divBdr>
            </w:div>
            <w:div w:id="1206454064">
              <w:marLeft w:val="0"/>
              <w:marRight w:val="0"/>
              <w:marTop w:val="0"/>
              <w:marBottom w:val="0"/>
              <w:divBdr>
                <w:top w:val="none" w:sz="0" w:space="0" w:color="auto"/>
                <w:left w:val="none" w:sz="0" w:space="0" w:color="auto"/>
                <w:bottom w:val="none" w:sz="0" w:space="0" w:color="auto"/>
                <w:right w:val="none" w:sz="0" w:space="0" w:color="auto"/>
              </w:divBdr>
            </w:div>
            <w:div w:id="1949578357">
              <w:marLeft w:val="0"/>
              <w:marRight w:val="0"/>
              <w:marTop w:val="0"/>
              <w:marBottom w:val="0"/>
              <w:divBdr>
                <w:top w:val="none" w:sz="0" w:space="0" w:color="auto"/>
                <w:left w:val="none" w:sz="0" w:space="0" w:color="auto"/>
                <w:bottom w:val="none" w:sz="0" w:space="0" w:color="auto"/>
                <w:right w:val="none" w:sz="0" w:space="0" w:color="auto"/>
              </w:divBdr>
            </w:div>
            <w:div w:id="297686543">
              <w:marLeft w:val="0"/>
              <w:marRight w:val="0"/>
              <w:marTop w:val="0"/>
              <w:marBottom w:val="0"/>
              <w:divBdr>
                <w:top w:val="none" w:sz="0" w:space="0" w:color="auto"/>
                <w:left w:val="none" w:sz="0" w:space="0" w:color="auto"/>
                <w:bottom w:val="none" w:sz="0" w:space="0" w:color="auto"/>
                <w:right w:val="none" w:sz="0" w:space="0" w:color="auto"/>
              </w:divBdr>
            </w:div>
            <w:div w:id="586693315">
              <w:marLeft w:val="0"/>
              <w:marRight w:val="0"/>
              <w:marTop w:val="0"/>
              <w:marBottom w:val="0"/>
              <w:divBdr>
                <w:top w:val="none" w:sz="0" w:space="0" w:color="auto"/>
                <w:left w:val="none" w:sz="0" w:space="0" w:color="auto"/>
                <w:bottom w:val="none" w:sz="0" w:space="0" w:color="auto"/>
                <w:right w:val="none" w:sz="0" w:space="0" w:color="auto"/>
              </w:divBdr>
            </w:div>
            <w:div w:id="2000842875">
              <w:marLeft w:val="0"/>
              <w:marRight w:val="0"/>
              <w:marTop w:val="0"/>
              <w:marBottom w:val="0"/>
              <w:divBdr>
                <w:top w:val="none" w:sz="0" w:space="0" w:color="auto"/>
                <w:left w:val="none" w:sz="0" w:space="0" w:color="auto"/>
                <w:bottom w:val="none" w:sz="0" w:space="0" w:color="auto"/>
                <w:right w:val="none" w:sz="0" w:space="0" w:color="auto"/>
              </w:divBdr>
            </w:div>
            <w:div w:id="837885666">
              <w:marLeft w:val="0"/>
              <w:marRight w:val="0"/>
              <w:marTop w:val="0"/>
              <w:marBottom w:val="0"/>
              <w:divBdr>
                <w:top w:val="none" w:sz="0" w:space="0" w:color="auto"/>
                <w:left w:val="none" w:sz="0" w:space="0" w:color="auto"/>
                <w:bottom w:val="none" w:sz="0" w:space="0" w:color="auto"/>
                <w:right w:val="none" w:sz="0" w:space="0" w:color="auto"/>
              </w:divBdr>
            </w:div>
            <w:div w:id="1733502292">
              <w:marLeft w:val="0"/>
              <w:marRight w:val="0"/>
              <w:marTop w:val="0"/>
              <w:marBottom w:val="0"/>
              <w:divBdr>
                <w:top w:val="none" w:sz="0" w:space="0" w:color="auto"/>
                <w:left w:val="none" w:sz="0" w:space="0" w:color="auto"/>
                <w:bottom w:val="none" w:sz="0" w:space="0" w:color="auto"/>
                <w:right w:val="none" w:sz="0" w:space="0" w:color="auto"/>
              </w:divBdr>
            </w:div>
            <w:div w:id="232739502">
              <w:marLeft w:val="0"/>
              <w:marRight w:val="0"/>
              <w:marTop w:val="0"/>
              <w:marBottom w:val="0"/>
              <w:divBdr>
                <w:top w:val="none" w:sz="0" w:space="0" w:color="auto"/>
                <w:left w:val="none" w:sz="0" w:space="0" w:color="auto"/>
                <w:bottom w:val="none" w:sz="0" w:space="0" w:color="auto"/>
                <w:right w:val="none" w:sz="0" w:space="0" w:color="auto"/>
              </w:divBdr>
            </w:div>
            <w:div w:id="226307959">
              <w:marLeft w:val="0"/>
              <w:marRight w:val="0"/>
              <w:marTop w:val="0"/>
              <w:marBottom w:val="0"/>
              <w:divBdr>
                <w:top w:val="none" w:sz="0" w:space="0" w:color="auto"/>
                <w:left w:val="none" w:sz="0" w:space="0" w:color="auto"/>
                <w:bottom w:val="none" w:sz="0" w:space="0" w:color="auto"/>
                <w:right w:val="none" w:sz="0" w:space="0" w:color="auto"/>
              </w:divBdr>
            </w:div>
            <w:div w:id="289556973">
              <w:marLeft w:val="0"/>
              <w:marRight w:val="0"/>
              <w:marTop w:val="0"/>
              <w:marBottom w:val="0"/>
              <w:divBdr>
                <w:top w:val="none" w:sz="0" w:space="0" w:color="auto"/>
                <w:left w:val="none" w:sz="0" w:space="0" w:color="auto"/>
                <w:bottom w:val="none" w:sz="0" w:space="0" w:color="auto"/>
                <w:right w:val="none" w:sz="0" w:space="0" w:color="auto"/>
              </w:divBdr>
            </w:div>
            <w:div w:id="385379304">
              <w:marLeft w:val="0"/>
              <w:marRight w:val="0"/>
              <w:marTop w:val="0"/>
              <w:marBottom w:val="0"/>
              <w:divBdr>
                <w:top w:val="none" w:sz="0" w:space="0" w:color="auto"/>
                <w:left w:val="none" w:sz="0" w:space="0" w:color="auto"/>
                <w:bottom w:val="none" w:sz="0" w:space="0" w:color="auto"/>
                <w:right w:val="none" w:sz="0" w:space="0" w:color="auto"/>
              </w:divBdr>
            </w:div>
            <w:div w:id="1662615331">
              <w:marLeft w:val="0"/>
              <w:marRight w:val="0"/>
              <w:marTop w:val="0"/>
              <w:marBottom w:val="0"/>
              <w:divBdr>
                <w:top w:val="none" w:sz="0" w:space="0" w:color="auto"/>
                <w:left w:val="none" w:sz="0" w:space="0" w:color="auto"/>
                <w:bottom w:val="none" w:sz="0" w:space="0" w:color="auto"/>
                <w:right w:val="none" w:sz="0" w:space="0" w:color="auto"/>
              </w:divBdr>
              <w:divsChild>
                <w:div w:id="12384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B9BA0-8013-41A7-BE9A-ECBB7CEC9A49}">
  <ds:schemaRefs>
    <ds:schemaRef ds:uri="http://schemas.microsoft.com/sharepoint/v3/contenttype/forms"/>
  </ds:schemaRefs>
</ds:datastoreItem>
</file>

<file path=customXml/itemProps2.xml><?xml version="1.0" encoding="utf-8"?>
<ds:datastoreItem xmlns:ds="http://schemas.openxmlformats.org/officeDocument/2006/customXml" ds:itemID="{98AE5960-2856-439D-81B1-314EBFB4EC2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5DC4304-F041-4045-AD4E-BB88A90EC74B}"/>
</file>

<file path=docProps/app.xml><?xml version="1.0" encoding="utf-8"?>
<Properties xmlns="http://schemas.openxmlformats.org/officeDocument/2006/extended-properties" xmlns:vt="http://schemas.openxmlformats.org/officeDocument/2006/docPropsVTypes">
  <Template>Normal</Template>
  <TotalTime>0</TotalTime>
  <Pages>13</Pages>
  <Words>10903</Words>
  <Characters>6216</Characters>
  <Application>Microsoft Office Word</Application>
  <DocSecurity>0</DocSecurity>
  <Lines>51</Lines>
  <Paragraphs>34</Paragraphs>
  <ScaleCrop>false</ScaleCrop>
  <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2022-03-03T13:37:00Z</dcterms:created>
  <dcterms:modified xsi:type="dcterms:W3CDTF">2022-05-24T09:47:00Z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